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D18388C"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9E2593" w:rsidRPr="009E2593">
        <w:rPr>
          <w:bCs/>
          <w:noProof w:val="0"/>
          <w:sz w:val="24"/>
          <w:szCs w:val="24"/>
        </w:rPr>
        <w:t>R2-1805239</w:t>
      </w:r>
    </w:p>
    <w:p w14:paraId="231362B2" w14:textId="4384F80A"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60CF6A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2593" w:rsidRPr="009E2593">
        <w:rPr>
          <w:rFonts w:cs="Arial"/>
          <w:b/>
          <w:bCs/>
          <w:sz w:val="24"/>
          <w:lang w:eastAsia="ja-JP"/>
        </w:rPr>
        <w:t>10.4.4.2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B1BE78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8146C">
        <w:rPr>
          <w:rFonts w:ascii="Arial" w:hAnsi="Arial" w:cs="Arial"/>
          <w:b/>
          <w:bCs/>
          <w:sz w:val="24"/>
        </w:rPr>
        <w:t>UE L2 bu</w:t>
      </w:r>
      <w:bookmarkStart w:id="0" w:name="_GoBack"/>
      <w:bookmarkEnd w:id="0"/>
      <w:r w:rsidR="00B8146C">
        <w:rPr>
          <w:rFonts w:ascii="Arial" w:hAnsi="Arial" w:cs="Arial"/>
          <w:b/>
          <w:bCs/>
          <w:sz w:val="24"/>
        </w:rPr>
        <w:t>ffer size in MR-DC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EF69028" w14:textId="40294577" w:rsidR="00054E5A" w:rsidRDefault="00054E5A" w:rsidP="00CD4C7B">
      <w:r>
        <w:t>The previous RAN2 agreements most relevant to this contribution are copied below.</w:t>
      </w:r>
    </w:p>
    <w:p w14:paraId="0A5AC518" w14:textId="159B7752" w:rsidR="00054E5A" w:rsidRDefault="00054E5A" w:rsidP="00CD4C7B">
      <w:r>
        <w:t>RAN2#99bis:</w:t>
      </w:r>
    </w:p>
    <w:p w14:paraId="081CE668" w14:textId="77777777" w:rsidR="00054E5A" w:rsidRDefault="00054E5A" w:rsidP="00054E5A">
      <w:pPr>
        <w:pStyle w:val="Doc-text2"/>
        <w:pBdr>
          <w:top w:val="single" w:sz="4" w:space="1" w:color="auto"/>
          <w:left w:val="single" w:sz="4" w:space="4" w:color="auto"/>
          <w:bottom w:val="single" w:sz="4" w:space="1" w:color="auto"/>
          <w:right w:val="single" w:sz="4" w:space="4" w:color="auto"/>
        </w:pBdr>
        <w:rPr>
          <w:sz w:val="18"/>
          <w:szCs w:val="18"/>
        </w:rPr>
      </w:pPr>
      <w:r>
        <w:rPr>
          <w:sz w:val="18"/>
          <w:szCs w:val="18"/>
        </w:rPr>
        <w:t>2</w:t>
      </w:r>
      <w:r>
        <w:rPr>
          <w:sz w:val="18"/>
          <w:szCs w:val="18"/>
        </w:rPr>
        <w:tab/>
        <w:t>The same formula as in LTE DC is used to determine the required L2 buffer size for split bearer operation in NR/MR-DC: MaxULDataRate * RTT + MaxDLDataRate_SeNB * RTT + MaxDLDataRate_MeNB * (RTT + Xn delay + Queuing in SN) (Calculated for highest rate MR-DC BC)</w:t>
      </w:r>
    </w:p>
    <w:p w14:paraId="7C43984B" w14:textId="77777777" w:rsidR="00054E5A" w:rsidRDefault="00054E5A" w:rsidP="00CD4C7B">
      <w:pPr>
        <w:rPr>
          <w:lang w:eastAsia="zh-CN"/>
        </w:rPr>
      </w:pPr>
    </w:p>
    <w:p w14:paraId="083D4A8D" w14:textId="6B1F5BB7" w:rsidR="00054E5A" w:rsidRDefault="00054E5A" w:rsidP="00CD4C7B">
      <w:pPr>
        <w:rPr>
          <w:lang w:eastAsia="zh-CN"/>
        </w:rPr>
      </w:pPr>
      <w:r>
        <w:rPr>
          <w:lang w:eastAsia="zh-CN"/>
        </w:rPr>
        <w:t>RAN2 NR AH#1801:</w:t>
      </w:r>
    </w:p>
    <w:p w14:paraId="3AF47836" w14:textId="77777777" w:rsidR="00054E5A" w:rsidRPr="00A95907" w:rsidRDefault="00054E5A" w:rsidP="00054E5A">
      <w:pPr>
        <w:pStyle w:val="Doc-text2"/>
        <w:pBdr>
          <w:top w:val="single" w:sz="4" w:space="1" w:color="auto"/>
          <w:left w:val="single" w:sz="4" w:space="4" w:color="auto"/>
          <w:bottom w:val="single" w:sz="4" w:space="1" w:color="auto"/>
          <w:right w:val="single" w:sz="4" w:space="4" w:color="auto"/>
        </w:pBdr>
        <w:rPr>
          <w:sz w:val="18"/>
          <w:szCs w:val="18"/>
        </w:rPr>
      </w:pPr>
      <w:r w:rsidRPr="00A95907">
        <w:rPr>
          <w:sz w:val="18"/>
          <w:szCs w:val="18"/>
        </w:rPr>
        <w:t>Agreements</w:t>
      </w:r>
    </w:p>
    <w:p w14:paraId="4FB4754D" w14:textId="77777777" w:rsidR="00054E5A" w:rsidRPr="00A95907" w:rsidRDefault="00054E5A" w:rsidP="00054E5A">
      <w:pPr>
        <w:pStyle w:val="Doc-text2"/>
        <w:pBdr>
          <w:top w:val="single" w:sz="4" w:space="1" w:color="auto"/>
          <w:left w:val="single" w:sz="4" w:space="4" w:color="auto"/>
          <w:bottom w:val="single" w:sz="4" w:space="1" w:color="auto"/>
          <w:right w:val="single" w:sz="4" w:space="4" w:color="auto"/>
        </w:pBdr>
        <w:rPr>
          <w:sz w:val="18"/>
          <w:szCs w:val="18"/>
        </w:rPr>
      </w:pPr>
      <w:r w:rsidRPr="00A95907">
        <w:rPr>
          <w:sz w:val="18"/>
          <w:szCs w:val="18"/>
        </w:rPr>
        <w:t>1</w:t>
      </w:r>
      <w:r w:rsidRPr="00A95907">
        <w:rPr>
          <w:sz w:val="18"/>
          <w:szCs w:val="18"/>
        </w:rPr>
        <w:tab/>
        <w:t>UE's L2 buffer size requirement is calculated based on the maximum L2 buffer size calculated for each band combination. For each band combination the L2 buffer size is calculated based on the maximum L2 buffer size calculated for each possible BPC.</w:t>
      </w:r>
    </w:p>
    <w:p w14:paraId="5904ED6D" w14:textId="77777777" w:rsidR="00054E5A" w:rsidRPr="00A95907" w:rsidRDefault="00054E5A" w:rsidP="00054E5A">
      <w:pPr>
        <w:pStyle w:val="Doc-text2"/>
        <w:pBdr>
          <w:top w:val="single" w:sz="4" w:space="1" w:color="auto"/>
          <w:left w:val="single" w:sz="4" w:space="4" w:color="auto"/>
          <w:bottom w:val="single" w:sz="4" w:space="1" w:color="auto"/>
          <w:right w:val="single" w:sz="4" w:space="4" w:color="auto"/>
        </w:pBdr>
        <w:rPr>
          <w:sz w:val="18"/>
          <w:szCs w:val="18"/>
        </w:rPr>
      </w:pPr>
      <w:r w:rsidRPr="00A95907">
        <w:rPr>
          <w:sz w:val="18"/>
          <w:szCs w:val="18"/>
        </w:rPr>
        <w:t>2</w:t>
      </w:r>
      <w:r w:rsidRPr="00A95907">
        <w:rPr>
          <w:sz w:val="18"/>
          <w:szCs w:val="18"/>
        </w:rPr>
        <w:tab/>
        <w:t>RAN2 will decide the RLC RTT value for each SCS to be used for L2 buffer size calculation. These will be captured in the spec as a table of RLC RTT per SCS (not the method to derive the value)</w:t>
      </w:r>
    </w:p>
    <w:p w14:paraId="2D0E5A31" w14:textId="2D15625D" w:rsidR="00054E5A" w:rsidRDefault="00054E5A" w:rsidP="00CD4C7B"/>
    <w:p w14:paraId="286B559D" w14:textId="4891F325" w:rsidR="00054E5A" w:rsidRDefault="00054E5A" w:rsidP="00CD4C7B">
      <w:r>
        <w:t>RAN2#101:</w:t>
      </w:r>
    </w:p>
    <w:p w14:paraId="7A19B582" w14:textId="77777777" w:rsidR="00054E5A" w:rsidRPr="002B31AF" w:rsidRDefault="00054E5A" w:rsidP="00054E5A">
      <w:pPr>
        <w:pStyle w:val="Doc-text2"/>
        <w:pBdr>
          <w:top w:val="single" w:sz="4" w:space="1" w:color="auto"/>
          <w:left w:val="single" w:sz="4" w:space="4" w:color="auto"/>
          <w:bottom w:val="single" w:sz="4" w:space="1" w:color="auto"/>
          <w:right w:val="single" w:sz="4" w:space="4" w:color="auto"/>
        </w:pBdr>
      </w:pPr>
      <w:r>
        <w:t>Agreements</w:t>
      </w:r>
    </w:p>
    <w:p w14:paraId="47552E58" w14:textId="77777777" w:rsidR="00054E5A" w:rsidRDefault="00054E5A" w:rsidP="00054E5A">
      <w:pPr>
        <w:pStyle w:val="Doc-text2"/>
        <w:pBdr>
          <w:top w:val="single" w:sz="4" w:space="1" w:color="auto"/>
          <w:left w:val="single" w:sz="4" w:space="4" w:color="auto"/>
          <w:bottom w:val="single" w:sz="4" w:space="1" w:color="auto"/>
          <w:right w:val="single" w:sz="4" w:space="4" w:color="auto"/>
        </w:pBdr>
      </w:pPr>
      <w:r>
        <w:t>1: For L2 buffer size calculation for MR/NR-DC, both MN terminated split bearer and SN terminated split bearers are considered. FFS about the detailed equation.</w:t>
      </w:r>
    </w:p>
    <w:p w14:paraId="29DFB206" w14:textId="77777777" w:rsidR="00054E5A" w:rsidRDefault="00054E5A" w:rsidP="00054E5A">
      <w:pPr>
        <w:pStyle w:val="Doc-text2"/>
        <w:pBdr>
          <w:top w:val="single" w:sz="4" w:space="1" w:color="auto"/>
          <w:left w:val="single" w:sz="4" w:space="4" w:color="auto"/>
          <w:bottom w:val="single" w:sz="4" w:space="1" w:color="auto"/>
          <w:right w:val="single" w:sz="4" w:space="4" w:color="auto"/>
        </w:pBdr>
      </w:pPr>
      <w:r>
        <w:t>2: For L2 buffer size calculation, RLC RTT for E-UTRA cell group is 75 ms</w:t>
      </w:r>
    </w:p>
    <w:p w14:paraId="55DC0B65" w14:textId="1326474F" w:rsidR="00054E5A" w:rsidRDefault="00054E5A" w:rsidP="00CD4C7B"/>
    <w:p w14:paraId="3E8A5D1E" w14:textId="3C6A4168" w:rsidR="00054E5A" w:rsidRDefault="00054E5A" w:rsidP="00CD4C7B">
      <w:r>
        <w:t>This contribution aims to progress further the dimensioning of the UE L2 buffer size.</w:t>
      </w:r>
    </w:p>
    <w:p w14:paraId="127ACA6D" w14:textId="10577F6E" w:rsidR="00CD4C7B" w:rsidRPr="006E13D1" w:rsidRDefault="00CD4C7B" w:rsidP="00CD4C7B">
      <w:pPr>
        <w:pStyle w:val="Heading1"/>
      </w:pPr>
      <w:r w:rsidRPr="006E13D1">
        <w:t>2</w:t>
      </w:r>
      <w:r w:rsidRPr="006E13D1">
        <w:tab/>
      </w:r>
      <w:r w:rsidR="00054E5A">
        <w:t>Discussion</w:t>
      </w:r>
    </w:p>
    <w:p w14:paraId="7B633F1C" w14:textId="6CA06461" w:rsidR="00054E5A" w:rsidRDefault="00FE5334" w:rsidP="00CD4C7B">
      <w:r>
        <w:t xml:space="preserve">It was previously agreed that the </w:t>
      </w:r>
      <w:r w:rsidR="00E67F45">
        <w:t>buffer-size requirement is maximized over possible band combinations and BPCs. Here we discuss what the buffer size should be with a given band configuration.</w:t>
      </w:r>
    </w:p>
    <w:p w14:paraId="5E6B0947" w14:textId="24CAA9F1" w:rsidR="00E11917" w:rsidRPr="006E13D1" w:rsidRDefault="00E11917" w:rsidP="00E11917">
      <w:pPr>
        <w:pStyle w:val="Heading2"/>
      </w:pPr>
      <w:r>
        <w:t>2</w:t>
      </w:r>
      <w:r w:rsidRPr="006E13D1">
        <w:t>.1</w:t>
      </w:r>
      <w:r w:rsidRPr="006E13D1">
        <w:tab/>
      </w:r>
      <w:r>
        <w:t>Uplink-buffering component</w:t>
      </w:r>
    </w:p>
    <w:p w14:paraId="02075603" w14:textId="78CD3CF1" w:rsidR="00E67F45" w:rsidRDefault="00122534" w:rsidP="00CD4C7B">
      <w:r>
        <w:t xml:space="preserve">Until now, the uplink component of the buffer size has been agreed simply as </w:t>
      </w:r>
      <w:r w:rsidRPr="00122534">
        <w:t>MaxULDataRate * RTT</w:t>
      </w:r>
      <w:r>
        <w:t xml:space="preserve">. </w:t>
      </w:r>
      <w:r w:rsidR="00E11917">
        <w:t>I</w:t>
      </w:r>
      <w:r>
        <w:t>n MR-DC</w:t>
      </w:r>
      <w:r w:rsidR="00924F63">
        <w:t xml:space="preserve">, </w:t>
      </w:r>
      <w:r>
        <w:t>the UE can be configured to transmit over the LTE radio only, or over the NR radio only</w:t>
      </w:r>
      <w:r w:rsidR="00140C40">
        <w:t>, and the size of this UL bitrate-delay product will be different on the two radios. Thus, the uplink component of the buffer-size requirement needs to be the maximum of the two</w:t>
      </w:r>
      <w:r w:rsidR="00007248">
        <w:t xml:space="preserve"> bitrate-delay products</w:t>
      </w:r>
      <w:r w:rsidR="00140C40">
        <w:t>.</w:t>
      </w:r>
    </w:p>
    <w:p w14:paraId="6209A3C3" w14:textId="2BB2653D" w:rsidR="00140C40" w:rsidRDefault="00140C40" w:rsidP="00140C40">
      <w:pPr>
        <w:ind w:left="1420" w:hanging="1132"/>
      </w:pPr>
      <w:r w:rsidRPr="00140C40">
        <w:rPr>
          <w:b/>
        </w:rPr>
        <w:t>Proposal 1</w:t>
      </w:r>
      <w:r>
        <w:t>:</w:t>
      </w:r>
      <w:r>
        <w:tab/>
        <w:t xml:space="preserve">With given band configuration (band combination, BPC) in MR-DC, the previously agreed uplink term </w:t>
      </w:r>
      <w:r w:rsidRPr="00122534">
        <w:t>MaxULDataRate * RTT</w:t>
      </w:r>
      <w:r>
        <w:t xml:space="preserve"> in the UE’s buffer-size requirement is </w:t>
      </w:r>
      <w:r w:rsidR="002C60DD">
        <w:t xml:space="preserve">the </w:t>
      </w:r>
      <w:r>
        <w:t>maxim</w:t>
      </w:r>
      <w:r w:rsidR="002C60DD">
        <w:t>um</w:t>
      </w:r>
      <w:r>
        <w:t xml:space="preserve"> over the uplinks of </w:t>
      </w:r>
      <w:r>
        <w:lastRenderedPageBreak/>
        <w:t xml:space="preserve">MN and SN, i.e. equals </w:t>
      </w:r>
      <w:r>
        <w:br/>
        <w:t>max {</w:t>
      </w:r>
      <w:r w:rsidRPr="00140C40">
        <w:t xml:space="preserve"> MaxULDataRate_MN * RTT_MN; MaxULDataRate_SN * RTT_SN }</w:t>
      </w:r>
      <w:r>
        <w:t>.</w:t>
      </w:r>
    </w:p>
    <w:p w14:paraId="0AA7D30E" w14:textId="1C04A210" w:rsidR="00216A9E" w:rsidRPr="006E13D1" w:rsidRDefault="00216A9E" w:rsidP="00216A9E">
      <w:pPr>
        <w:pStyle w:val="Heading2"/>
      </w:pPr>
      <w:r>
        <w:t>2</w:t>
      </w:r>
      <w:r w:rsidRPr="006E13D1">
        <w:t>.</w:t>
      </w:r>
      <w:r>
        <w:t>2</w:t>
      </w:r>
      <w:r w:rsidRPr="006E13D1">
        <w:tab/>
      </w:r>
      <w:r>
        <w:t>Downlink-buffering component</w:t>
      </w:r>
    </w:p>
    <w:p w14:paraId="25809243" w14:textId="749E9390" w:rsidR="00054E5A" w:rsidRDefault="009A78A9" w:rsidP="00CD4C7B">
      <w:r>
        <w:t xml:space="preserve">As recognized in the discussion document [1] for RAN2 </w:t>
      </w:r>
      <w:r w:rsidRPr="009A78A9">
        <w:t>email discussion</w:t>
      </w:r>
      <w:r>
        <w:t xml:space="preserve"> </w:t>
      </w:r>
      <w:r w:rsidRPr="009A78A9">
        <w:t>NR-AH1801#09</w:t>
      </w:r>
      <w:r>
        <w:t>, the downlink-buffering component for an MN-terminated split bearer is</w:t>
      </w:r>
    </w:p>
    <w:p w14:paraId="0290033D" w14:textId="5DEC54BE" w:rsidR="009A78A9" w:rsidRDefault="009A78A9" w:rsidP="009A78A9">
      <w:pPr>
        <w:ind w:firstLine="284"/>
      </w:pPr>
      <w:r w:rsidRPr="007B292D">
        <w:rPr>
          <w:lang w:eastAsia="zh-CN"/>
        </w:rPr>
        <w:t>MaxDLDataRate_SN * RTT_SN + MaxDLDataRate_MN * (RTT_SN + Xn delay + Queuing in SN)</w:t>
      </w:r>
    </w:p>
    <w:p w14:paraId="3F67D5FF" w14:textId="362062DE" w:rsidR="009A78A9" w:rsidRDefault="009A78A9" w:rsidP="00CD4C7B">
      <w:r>
        <w:t>and by symmetry for an SN-terminated bearer:</w:t>
      </w:r>
    </w:p>
    <w:p w14:paraId="137D9D24" w14:textId="315AA414" w:rsidR="009A78A9" w:rsidRDefault="009A78A9" w:rsidP="009A78A9">
      <w:pPr>
        <w:ind w:firstLine="284"/>
      </w:pPr>
      <w:r w:rsidRPr="00282B64">
        <w:t>MaxDLDataRate_</w:t>
      </w:r>
      <w:r>
        <w:t>M</w:t>
      </w:r>
      <w:r w:rsidRPr="00282B64">
        <w:t>N * RTT_</w:t>
      </w:r>
      <w:r>
        <w:t>M</w:t>
      </w:r>
      <w:r w:rsidRPr="00282B64">
        <w:t>N + MaxDLDataRate_</w:t>
      </w:r>
      <w:r>
        <w:t>S</w:t>
      </w:r>
      <w:r w:rsidRPr="00282B64">
        <w:t>N * (RTT_</w:t>
      </w:r>
      <w:r>
        <w:t>M</w:t>
      </w:r>
      <w:r w:rsidRPr="00282B64">
        <w:t xml:space="preserve">N + Xn delay + Queuing in </w:t>
      </w:r>
      <w:r>
        <w:t>M</w:t>
      </w:r>
      <w:r w:rsidRPr="00282B64">
        <w:t>N)</w:t>
      </w:r>
      <w:r>
        <w:t>.</w:t>
      </w:r>
    </w:p>
    <w:p w14:paraId="509CB5ED" w14:textId="1B7C9A6C" w:rsidR="009A78A9" w:rsidRDefault="009A78A9" w:rsidP="00CD4C7B">
      <w:r>
        <w:t>Again, the UE can be configured with either kind of split bearer, so the downlink component of the buffer-size requirement needs to be the maximum of these two.</w:t>
      </w:r>
    </w:p>
    <w:p w14:paraId="3AF0CA71" w14:textId="2A2F3BF1" w:rsidR="002C60DD" w:rsidRDefault="009A78A9" w:rsidP="002C60DD">
      <w:pPr>
        <w:ind w:left="1420" w:hanging="1132"/>
      </w:pPr>
      <w:r w:rsidRPr="009A78A9">
        <w:rPr>
          <w:b/>
        </w:rPr>
        <w:t>Proposal 2</w:t>
      </w:r>
      <w:r>
        <w:t>:</w:t>
      </w:r>
      <w:r>
        <w:tab/>
      </w:r>
      <w:r w:rsidR="00793FCA">
        <w:t xml:space="preserve">With given band configuration (band combination, BPC) in MR-DC, the downlink term in the UE’s buffer-size requirement is </w:t>
      </w:r>
      <w:r w:rsidR="002C60DD">
        <w:t>the maximum over MN-terminated and SN-terminated split bearers</w:t>
      </w:r>
      <w:r w:rsidR="00793FCA">
        <w:t xml:space="preserve">, i.e. equals </w:t>
      </w:r>
      <w:r w:rsidR="00793FCA">
        <w:br/>
      </w:r>
      <w:r w:rsidR="002C60DD">
        <w:t>max {</w:t>
      </w:r>
      <w:r w:rsidR="002C60DD">
        <w:br/>
      </w:r>
      <w:r w:rsidR="002C60DD" w:rsidRPr="007B292D">
        <w:rPr>
          <w:lang w:eastAsia="zh-CN"/>
        </w:rPr>
        <w:t>MaxDLDataRate_SN * RTT_SN + MaxDLDataRate_MN * (RTT_SN + Xn delay + Queuing in SN)</w:t>
      </w:r>
      <w:r w:rsidR="002C60DD">
        <w:rPr>
          <w:lang w:eastAsia="zh-CN"/>
        </w:rPr>
        <w:t>,</w:t>
      </w:r>
      <w:r w:rsidR="002C60DD">
        <w:rPr>
          <w:lang w:eastAsia="zh-CN"/>
        </w:rPr>
        <w:br/>
      </w:r>
      <w:r w:rsidR="002C60DD" w:rsidRPr="00282B64">
        <w:t>MaxDLDataRate_</w:t>
      </w:r>
      <w:r w:rsidR="002C60DD">
        <w:t>M</w:t>
      </w:r>
      <w:r w:rsidR="002C60DD" w:rsidRPr="00282B64">
        <w:t>N * RTT_</w:t>
      </w:r>
      <w:r w:rsidR="002C60DD">
        <w:t>M</w:t>
      </w:r>
      <w:r w:rsidR="002C60DD" w:rsidRPr="00282B64">
        <w:t>N + MaxDLDataRate_</w:t>
      </w:r>
      <w:r w:rsidR="002C60DD">
        <w:t>S</w:t>
      </w:r>
      <w:r w:rsidR="002C60DD" w:rsidRPr="00282B64">
        <w:t>N * (RTT_</w:t>
      </w:r>
      <w:r w:rsidR="002C60DD">
        <w:t>M</w:t>
      </w:r>
      <w:r w:rsidR="002C60DD" w:rsidRPr="00282B64">
        <w:t xml:space="preserve">N + Xn delay + Queuing in </w:t>
      </w:r>
      <w:r w:rsidR="002C60DD">
        <w:t>M</w:t>
      </w:r>
      <w:r w:rsidR="002C60DD" w:rsidRPr="00282B64">
        <w:t>N)</w:t>
      </w:r>
      <w:r w:rsidR="002C60DD">
        <w:t>}.</w:t>
      </w:r>
    </w:p>
    <w:p w14:paraId="7B5FF77D" w14:textId="1A8AFADE" w:rsidR="000B0CFD" w:rsidRPr="006E13D1" w:rsidRDefault="000B0CFD" w:rsidP="000B0CFD">
      <w:pPr>
        <w:pStyle w:val="Heading2"/>
      </w:pPr>
      <w:r>
        <w:t>2</w:t>
      </w:r>
      <w:r w:rsidRPr="006E13D1">
        <w:t>.</w:t>
      </w:r>
      <w:r>
        <w:t>3</w:t>
      </w:r>
      <w:r w:rsidRPr="006E13D1">
        <w:tab/>
      </w:r>
      <w:r>
        <w:t>RLC RTT</w:t>
      </w:r>
    </w:p>
    <w:p w14:paraId="63F2E5C5" w14:textId="0FC58544" w:rsidR="00C80C97" w:rsidRDefault="00C80C97" w:rsidP="002C60DD">
      <w:pPr>
        <w:rPr>
          <w:lang w:eastAsia="zh-CN"/>
        </w:rPr>
      </w:pPr>
      <w:r>
        <w:rPr>
          <w:lang w:eastAsia="zh-CN"/>
        </w:rPr>
        <w:t xml:space="preserve">In dimensioning the L2 buffer for LTE, a 72ms RLC RTT was assumed, which equals 9 HARQ RTTs. For NR the fundaments do not seem so different that deviating from this rule would seem justified. The RLC RTT will still be dominated by the amount of time it takes to detect a missing PDU in RLC reception, </w:t>
      </w:r>
      <w:r w:rsidR="00312881">
        <w:rPr>
          <w:lang w:eastAsia="zh-CN"/>
        </w:rPr>
        <w:t>which</w:t>
      </w:r>
      <w:r>
        <w:rPr>
          <w:lang w:eastAsia="zh-CN"/>
        </w:rPr>
        <w:t xml:space="preserve"> is clearly bound to </w:t>
      </w:r>
      <w:r w:rsidR="00312881">
        <w:rPr>
          <w:lang w:eastAsia="zh-CN"/>
        </w:rPr>
        <w:t xml:space="preserve">a multiple of </w:t>
      </w:r>
      <w:r>
        <w:rPr>
          <w:lang w:eastAsia="zh-CN"/>
        </w:rPr>
        <w:t>HARQ RTT</w:t>
      </w:r>
      <w:r w:rsidR="00312881">
        <w:rPr>
          <w:lang w:eastAsia="zh-CN"/>
        </w:rPr>
        <w:t>s</w:t>
      </w:r>
      <w:r>
        <w:rPr>
          <w:lang w:eastAsia="zh-CN"/>
        </w:rPr>
        <w:t>.</w:t>
      </w:r>
      <w:r w:rsidR="00834DB2">
        <w:rPr>
          <w:lang w:eastAsia="zh-CN"/>
        </w:rPr>
        <w:t xml:space="preserve"> In addition, time is needed for </w:t>
      </w:r>
      <w:r w:rsidR="00C97D51">
        <w:rPr>
          <w:lang w:eastAsia="zh-CN"/>
        </w:rPr>
        <w:t>RLC NACK and retransmission, which can also be assumed to take some HARQ RTTs.</w:t>
      </w:r>
    </w:p>
    <w:p w14:paraId="54530DAE" w14:textId="76D80C14" w:rsidR="00290C31" w:rsidRDefault="00C80C97" w:rsidP="00312881">
      <w:pPr>
        <w:ind w:left="1420" w:hanging="1132"/>
        <w:rPr>
          <w:lang w:eastAsia="zh-CN"/>
        </w:rPr>
      </w:pPr>
      <w:r w:rsidRPr="00C80C97">
        <w:rPr>
          <w:b/>
          <w:lang w:eastAsia="zh-CN"/>
        </w:rPr>
        <w:t>Proposal 3</w:t>
      </w:r>
      <w:r>
        <w:rPr>
          <w:lang w:eastAsia="zh-CN"/>
        </w:rPr>
        <w:t>:</w:t>
      </w:r>
      <w:r>
        <w:rPr>
          <w:lang w:eastAsia="zh-CN"/>
        </w:rPr>
        <w:tab/>
      </w:r>
      <w:r w:rsidR="00312881">
        <w:rPr>
          <w:lang w:eastAsia="zh-CN"/>
        </w:rPr>
        <w:t xml:space="preserve">Like </w:t>
      </w:r>
      <w:r w:rsidR="00CF6B2A">
        <w:rPr>
          <w:lang w:eastAsia="zh-CN"/>
        </w:rPr>
        <w:t>with</w:t>
      </w:r>
      <w:r w:rsidR="00312881">
        <w:rPr>
          <w:lang w:eastAsia="zh-CN"/>
        </w:rPr>
        <w:t xml:space="preserve"> LTE, </w:t>
      </w:r>
      <w:r w:rsidR="00CF6B2A">
        <w:rPr>
          <w:lang w:eastAsia="zh-CN"/>
        </w:rPr>
        <w:t xml:space="preserve">with </w:t>
      </w:r>
      <w:r w:rsidR="00312881">
        <w:rPr>
          <w:lang w:eastAsia="zh-CN"/>
        </w:rPr>
        <w:t xml:space="preserve">NR </w:t>
      </w:r>
      <w:r w:rsidR="00CF6B2A">
        <w:rPr>
          <w:lang w:eastAsia="zh-CN"/>
        </w:rPr>
        <w:t xml:space="preserve">the </w:t>
      </w:r>
      <w:r w:rsidR="00312881">
        <w:rPr>
          <w:lang w:eastAsia="zh-CN"/>
        </w:rPr>
        <w:t xml:space="preserve">RLC RTT is assumed to equal 9 * HARQ RTT (where HARQ RTT is </w:t>
      </w:r>
      <w:r w:rsidR="00CF6B2A">
        <w:rPr>
          <w:lang w:eastAsia="zh-CN"/>
        </w:rPr>
        <w:t xml:space="preserve">now </w:t>
      </w:r>
      <w:r w:rsidR="00312881">
        <w:rPr>
          <w:lang w:eastAsia="zh-CN"/>
        </w:rPr>
        <w:t>numerology-specific).</w:t>
      </w:r>
    </w:p>
    <w:p w14:paraId="02AD8D41" w14:textId="77777777" w:rsidR="003D2BC1" w:rsidRPr="006E13D1" w:rsidRDefault="003D2BC1" w:rsidP="003D2BC1">
      <w:pPr>
        <w:pStyle w:val="Heading2"/>
      </w:pPr>
      <w:r>
        <w:t>2</w:t>
      </w:r>
      <w:r w:rsidRPr="006E13D1">
        <w:t>.</w:t>
      </w:r>
      <w:r>
        <w:t>4</w:t>
      </w:r>
      <w:r w:rsidRPr="006E13D1">
        <w:tab/>
      </w:r>
      <w:r>
        <w:t>HARQ RTT</w:t>
      </w:r>
    </w:p>
    <w:p w14:paraId="5710B46E" w14:textId="77777777" w:rsidR="003D2BC1" w:rsidRDefault="003D2BC1" w:rsidP="003D2BC1">
      <w:pPr>
        <w:rPr>
          <w:lang w:eastAsia="zh-CN"/>
        </w:rPr>
      </w:pPr>
      <w:r>
        <w:rPr>
          <w:lang w:eastAsia="zh-CN"/>
        </w:rPr>
        <w:t>The maximum number of HARQ processes for NR is 16 for both UL and DL. Assuming long-PUCCH for HARQ-ACK, UE processing delay as defined in 38.214 for additional DMRS configuration and 1 ms 2-way fronthaul latency we calculate HARQ RTTs ranging from 2.125 ms to 8 ms.</w:t>
      </w:r>
    </w:p>
    <w:tbl>
      <w:tblPr>
        <w:tblStyle w:val="PlainTable5"/>
        <w:tblW w:w="8490" w:type="dxa"/>
        <w:tblLook w:val="04A0" w:firstRow="1" w:lastRow="0" w:firstColumn="1" w:lastColumn="0" w:noHBand="0" w:noVBand="1"/>
      </w:tblPr>
      <w:tblGrid>
        <w:gridCol w:w="2820"/>
        <w:gridCol w:w="1134"/>
        <w:gridCol w:w="1134"/>
        <w:gridCol w:w="1134"/>
        <w:gridCol w:w="1134"/>
        <w:gridCol w:w="1134"/>
      </w:tblGrid>
      <w:tr w:rsidR="003D2BC1" w:rsidRPr="00087B62" w14:paraId="2660ADF6" w14:textId="77777777" w:rsidTr="00A81187">
        <w:trPr>
          <w:cnfStyle w:val="100000000000" w:firstRow="1" w:lastRow="0" w:firstColumn="0" w:lastColumn="0" w:oddVBand="0" w:evenVBand="0" w:oddHBand="0" w:evenHBand="0" w:firstRowFirstColumn="0" w:firstRowLastColumn="0" w:lastRowFirstColumn="0" w:lastRowLastColumn="0"/>
          <w:trHeight w:val="126"/>
        </w:trPr>
        <w:tc>
          <w:tcPr>
            <w:cnfStyle w:val="001000000100" w:firstRow="0" w:lastRow="0" w:firstColumn="1" w:lastColumn="0" w:oddVBand="0" w:evenVBand="0" w:oddHBand="0" w:evenHBand="0" w:firstRowFirstColumn="1" w:firstRowLastColumn="0" w:lastRowFirstColumn="0" w:lastRowLastColumn="0"/>
            <w:tcW w:w="2820" w:type="dxa"/>
            <w:tcBorders>
              <w:top w:val="single" w:sz="12" w:space="0" w:color="auto"/>
              <w:left w:val="single" w:sz="12" w:space="0" w:color="auto"/>
              <w:right w:val="single" w:sz="12" w:space="0" w:color="auto"/>
            </w:tcBorders>
            <w:noWrap/>
            <w:hideMark/>
          </w:tcPr>
          <w:p w14:paraId="36E6B42F" w14:textId="77777777" w:rsidR="003D2BC1" w:rsidRPr="00087B62" w:rsidRDefault="003D2BC1" w:rsidP="00A81187">
            <w:pPr>
              <w:spacing w:after="0"/>
              <w:rPr>
                <w:rFonts w:ascii="Calibri" w:hAnsi="Calibri" w:cs="Calibri"/>
                <w:color w:val="000000"/>
                <w:sz w:val="18"/>
                <w:szCs w:val="18"/>
                <w:lang w:val="en-US"/>
              </w:rPr>
            </w:pPr>
            <w:r>
              <w:rPr>
                <w:rFonts w:ascii="Calibri" w:hAnsi="Calibri" w:cs="Calibri"/>
                <w:color w:val="000000"/>
                <w:sz w:val="18"/>
                <w:szCs w:val="18"/>
                <w:lang w:val="en-US"/>
              </w:rPr>
              <w:t>Subcarrier spacing</w:t>
            </w:r>
            <w:r w:rsidRPr="00087B62">
              <w:rPr>
                <w:rFonts w:ascii="Calibri" w:hAnsi="Calibri" w:cs="Calibri"/>
                <w:color w:val="000000"/>
                <w:sz w:val="18"/>
                <w:szCs w:val="18"/>
                <w:lang w:val="en-US"/>
              </w:rPr>
              <w:t xml:space="preserve"> [kHz]</w:t>
            </w:r>
          </w:p>
        </w:tc>
        <w:tc>
          <w:tcPr>
            <w:tcW w:w="1134" w:type="dxa"/>
            <w:tcBorders>
              <w:top w:val="single" w:sz="12" w:space="0" w:color="auto"/>
              <w:left w:val="single" w:sz="12" w:space="0" w:color="auto"/>
            </w:tcBorders>
            <w:noWrap/>
            <w:hideMark/>
          </w:tcPr>
          <w:p w14:paraId="4B9B3FD9" w14:textId="77777777" w:rsidR="003D2BC1" w:rsidRPr="00087B62" w:rsidRDefault="003D2BC1" w:rsidP="00A81187">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i w:val="0"/>
                <w:color w:val="000000"/>
                <w:sz w:val="18"/>
                <w:szCs w:val="18"/>
                <w:lang w:val="en-US"/>
              </w:rPr>
            </w:pPr>
            <w:r w:rsidRPr="00087B62">
              <w:rPr>
                <w:rFonts w:ascii="Calibri" w:hAnsi="Calibri" w:cs="Calibri"/>
                <w:i w:val="0"/>
                <w:color w:val="000000"/>
                <w:sz w:val="18"/>
                <w:szCs w:val="18"/>
                <w:lang w:val="en-US"/>
              </w:rPr>
              <w:t>15</w:t>
            </w:r>
          </w:p>
        </w:tc>
        <w:tc>
          <w:tcPr>
            <w:tcW w:w="1134" w:type="dxa"/>
            <w:tcBorders>
              <w:top w:val="single" w:sz="12" w:space="0" w:color="auto"/>
            </w:tcBorders>
            <w:noWrap/>
            <w:hideMark/>
          </w:tcPr>
          <w:p w14:paraId="1DED3A55" w14:textId="77777777" w:rsidR="003D2BC1" w:rsidRPr="00087B62" w:rsidRDefault="003D2BC1" w:rsidP="00A81187">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i w:val="0"/>
                <w:color w:val="000000"/>
                <w:sz w:val="18"/>
                <w:szCs w:val="18"/>
                <w:lang w:val="en-US"/>
              </w:rPr>
            </w:pPr>
            <w:r w:rsidRPr="00087B62">
              <w:rPr>
                <w:rFonts w:ascii="Calibri" w:hAnsi="Calibri" w:cs="Calibri"/>
                <w:i w:val="0"/>
                <w:color w:val="000000"/>
                <w:sz w:val="18"/>
                <w:szCs w:val="18"/>
                <w:lang w:val="en-US"/>
              </w:rPr>
              <w:t>30</w:t>
            </w:r>
          </w:p>
        </w:tc>
        <w:tc>
          <w:tcPr>
            <w:tcW w:w="1134" w:type="dxa"/>
            <w:tcBorders>
              <w:top w:val="single" w:sz="12" w:space="0" w:color="auto"/>
            </w:tcBorders>
            <w:noWrap/>
            <w:hideMark/>
          </w:tcPr>
          <w:p w14:paraId="30E381D5" w14:textId="77777777" w:rsidR="003D2BC1" w:rsidRPr="00087B62" w:rsidRDefault="003D2BC1" w:rsidP="00A81187">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i w:val="0"/>
                <w:color w:val="000000"/>
                <w:sz w:val="18"/>
                <w:szCs w:val="18"/>
                <w:lang w:val="en-US"/>
              </w:rPr>
            </w:pPr>
            <w:r w:rsidRPr="00087B62">
              <w:rPr>
                <w:rFonts w:ascii="Calibri" w:hAnsi="Calibri" w:cs="Calibri"/>
                <w:i w:val="0"/>
                <w:color w:val="000000"/>
                <w:sz w:val="18"/>
                <w:szCs w:val="18"/>
                <w:lang w:val="en-US"/>
              </w:rPr>
              <w:t>60</w:t>
            </w:r>
          </w:p>
        </w:tc>
        <w:tc>
          <w:tcPr>
            <w:tcW w:w="1134" w:type="dxa"/>
            <w:tcBorders>
              <w:top w:val="single" w:sz="12" w:space="0" w:color="auto"/>
            </w:tcBorders>
            <w:noWrap/>
            <w:hideMark/>
          </w:tcPr>
          <w:p w14:paraId="22F88FA3" w14:textId="77777777" w:rsidR="003D2BC1" w:rsidRPr="00087B62" w:rsidRDefault="003D2BC1" w:rsidP="00A81187">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i w:val="0"/>
                <w:color w:val="000000"/>
                <w:sz w:val="18"/>
                <w:szCs w:val="18"/>
                <w:lang w:val="en-US"/>
              </w:rPr>
            </w:pPr>
            <w:r w:rsidRPr="00087B62">
              <w:rPr>
                <w:rFonts w:ascii="Calibri" w:hAnsi="Calibri" w:cs="Calibri"/>
                <w:i w:val="0"/>
                <w:color w:val="000000"/>
                <w:sz w:val="18"/>
                <w:szCs w:val="18"/>
                <w:lang w:val="en-US"/>
              </w:rPr>
              <w:t>120</w:t>
            </w:r>
          </w:p>
        </w:tc>
        <w:tc>
          <w:tcPr>
            <w:tcW w:w="1134" w:type="dxa"/>
            <w:tcBorders>
              <w:top w:val="single" w:sz="12" w:space="0" w:color="auto"/>
              <w:right w:val="single" w:sz="12" w:space="0" w:color="auto"/>
            </w:tcBorders>
            <w:noWrap/>
            <w:hideMark/>
          </w:tcPr>
          <w:p w14:paraId="34AB3017" w14:textId="77777777" w:rsidR="003D2BC1" w:rsidRPr="00087B62" w:rsidRDefault="003D2BC1" w:rsidP="00A81187">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i w:val="0"/>
                <w:color w:val="000000"/>
                <w:sz w:val="18"/>
                <w:szCs w:val="18"/>
                <w:lang w:val="en-US"/>
              </w:rPr>
            </w:pPr>
            <w:r w:rsidRPr="00087B62">
              <w:rPr>
                <w:rFonts w:ascii="Calibri" w:hAnsi="Calibri" w:cs="Calibri"/>
                <w:i w:val="0"/>
                <w:color w:val="000000"/>
                <w:sz w:val="18"/>
                <w:szCs w:val="18"/>
                <w:lang w:val="en-US"/>
              </w:rPr>
              <w:t>120</w:t>
            </w:r>
          </w:p>
        </w:tc>
      </w:tr>
      <w:tr w:rsidR="003D2BC1" w:rsidRPr="00087B62" w14:paraId="45E95486" w14:textId="77777777" w:rsidTr="00A81187">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2820" w:type="dxa"/>
            <w:tcBorders>
              <w:top w:val="single" w:sz="4" w:space="0" w:color="7F7F7F" w:themeColor="text1" w:themeTint="80"/>
              <w:left w:val="single" w:sz="12" w:space="0" w:color="auto"/>
              <w:right w:val="single" w:sz="12" w:space="0" w:color="auto"/>
            </w:tcBorders>
            <w:noWrap/>
            <w:hideMark/>
          </w:tcPr>
          <w:p w14:paraId="65FE7468" w14:textId="77777777" w:rsidR="003D2BC1" w:rsidRPr="00087B62" w:rsidRDefault="003D2BC1" w:rsidP="00A81187">
            <w:pPr>
              <w:spacing w:after="0"/>
              <w:rPr>
                <w:rFonts w:ascii="Calibri" w:hAnsi="Calibri" w:cs="Calibri"/>
                <w:color w:val="000000"/>
                <w:sz w:val="18"/>
                <w:szCs w:val="18"/>
                <w:lang w:val="en-US"/>
              </w:rPr>
            </w:pPr>
            <w:r>
              <w:rPr>
                <w:rFonts w:ascii="Calibri" w:hAnsi="Calibri" w:cs="Calibri"/>
                <w:color w:val="000000"/>
                <w:sz w:val="18"/>
                <w:szCs w:val="18"/>
                <w:lang w:val="en-US"/>
              </w:rPr>
              <w:t>S</w:t>
            </w:r>
            <w:r w:rsidRPr="00087B62">
              <w:rPr>
                <w:rFonts w:ascii="Calibri" w:hAnsi="Calibri" w:cs="Calibri"/>
                <w:color w:val="000000"/>
                <w:sz w:val="18"/>
                <w:szCs w:val="18"/>
                <w:lang w:val="en-US"/>
              </w:rPr>
              <w:t>ymbols/TTI</w:t>
            </w:r>
          </w:p>
        </w:tc>
        <w:tc>
          <w:tcPr>
            <w:tcW w:w="1134" w:type="dxa"/>
            <w:tcBorders>
              <w:top w:val="single" w:sz="4" w:space="0" w:color="7F7F7F" w:themeColor="text1" w:themeTint="80"/>
              <w:left w:val="single" w:sz="12" w:space="0" w:color="auto"/>
            </w:tcBorders>
            <w:noWrap/>
            <w:hideMark/>
          </w:tcPr>
          <w:p w14:paraId="6DC4A2E7"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lang w:val="en-US"/>
              </w:rPr>
            </w:pPr>
            <w:r w:rsidRPr="00087B62">
              <w:rPr>
                <w:rFonts w:ascii="Calibri" w:hAnsi="Calibri" w:cs="Calibri"/>
                <w:sz w:val="18"/>
                <w:szCs w:val="18"/>
                <w:lang w:val="en-US"/>
              </w:rPr>
              <w:t>14</w:t>
            </w:r>
          </w:p>
        </w:tc>
        <w:tc>
          <w:tcPr>
            <w:tcW w:w="1134" w:type="dxa"/>
            <w:tcBorders>
              <w:top w:val="single" w:sz="4" w:space="0" w:color="7F7F7F" w:themeColor="text1" w:themeTint="80"/>
            </w:tcBorders>
            <w:noWrap/>
            <w:hideMark/>
          </w:tcPr>
          <w:p w14:paraId="2BAA720D"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lang w:val="en-US"/>
              </w:rPr>
            </w:pPr>
            <w:r w:rsidRPr="00087B62">
              <w:rPr>
                <w:rFonts w:ascii="Calibri" w:hAnsi="Calibri" w:cs="Calibri"/>
                <w:sz w:val="18"/>
                <w:szCs w:val="18"/>
                <w:lang w:val="en-US"/>
              </w:rPr>
              <w:t>14</w:t>
            </w:r>
          </w:p>
        </w:tc>
        <w:tc>
          <w:tcPr>
            <w:tcW w:w="1134" w:type="dxa"/>
            <w:tcBorders>
              <w:top w:val="single" w:sz="4" w:space="0" w:color="7F7F7F" w:themeColor="text1" w:themeTint="80"/>
            </w:tcBorders>
            <w:noWrap/>
            <w:hideMark/>
          </w:tcPr>
          <w:p w14:paraId="44E6398F"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lang w:val="en-US"/>
              </w:rPr>
            </w:pPr>
            <w:r w:rsidRPr="00087B62">
              <w:rPr>
                <w:rFonts w:ascii="Calibri" w:hAnsi="Calibri" w:cs="Calibri"/>
                <w:sz w:val="18"/>
                <w:szCs w:val="18"/>
                <w:lang w:val="en-US"/>
              </w:rPr>
              <w:t>14</w:t>
            </w:r>
          </w:p>
        </w:tc>
        <w:tc>
          <w:tcPr>
            <w:tcW w:w="1134" w:type="dxa"/>
            <w:tcBorders>
              <w:top w:val="single" w:sz="4" w:space="0" w:color="7F7F7F" w:themeColor="text1" w:themeTint="80"/>
            </w:tcBorders>
            <w:noWrap/>
            <w:hideMark/>
          </w:tcPr>
          <w:p w14:paraId="4F3AFED0"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lang w:val="en-US"/>
              </w:rPr>
            </w:pPr>
            <w:r w:rsidRPr="00087B62">
              <w:rPr>
                <w:rFonts w:ascii="Calibri" w:hAnsi="Calibri" w:cs="Calibri"/>
                <w:sz w:val="18"/>
                <w:szCs w:val="18"/>
                <w:lang w:val="en-US"/>
              </w:rPr>
              <w:t>14</w:t>
            </w:r>
          </w:p>
        </w:tc>
        <w:tc>
          <w:tcPr>
            <w:tcW w:w="1134" w:type="dxa"/>
            <w:tcBorders>
              <w:top w:val="single" w:sz="4" w:space="0" w:color="7F7F7F" w:themeColor="text1" w:themeTint="80"/>
              <w:right w:val="single" w:sz="12" w:space="0" w:color="auto"/>
            </w:tcBorders>
            <w:noWrap/>
            <w:hideMark/>
          </w:tcPr>
          <w:p w14:paraId="254E3F91"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lang w:val="en-US"/>
              </w:rPr>
            </w:pPr>
            <w:r w:rsidRPr="00087B62">
              <w:rPr>
                <w:rFonts w:ascii="Calibri" w:hAnsi="Calibri" w:cs="Calibri"/>
                <w:sz w:val="18"/>
                <w:szCs w:val="18"/>
                <w:lang w:val="en-US"/>
              </w:rPr>
              <w:t>28</w:t>
            </w:r>
            <w:r w:rsidRPr="00B67972">
              <w:rPr>
                <w:rFonts w:ascii="Calibri" w:hAnsi="Calibri" w:cs="Calibri"/>
                <w:sz w:val="18"/>
                <w:szCs w:val="18"/>
                <w:lang w:val="en-US"/>
              </w:rPr>
              <w:t>*</w:t>
            </w:r>
          </w:p>
        </w:tc>
      </w:tr>
      <w:tr w:rsidR="003D2BC1" w:rsidRPr="00087B62" w14:paraId="1A604426" w14:textId="77777777" w:rsidTr="00A81187">
        <w:trPr>
          <w:trHeight w:val="92"/>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right w:val="single" w:sz="12" w:space="0" w:color="auto"/>
            </w:tcBorders>
            <w:noWrap/>
            <w:hideMark/>
          </w:tcPr>
          <w:p w14:paraId="235C7106"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TTI duration [ms]</w:t>
            </w:r>
          </w:p>
        </w:tc>
        <w:tc>
          <w:tcPr>
            <w:tcW w:w="1134" w:type="dxa"/>
            <w:tcBorders>
              <w:left w:val="single" w:sz="12" w:space="0" w:color="auto"/>
            </w:tcBorders>
            <w:noWrap/>
            <w:hideMark/>
          </w:tcPr>
          <w:p w14:paraId="2C68AC94"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noWrap/>
            <w:hideMark/>
          </w:tcPr>
          <w:p w14:paraId="46B1627C"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noWrap/>
            <w:hideMark/>
          </w:tcPr>
          <w:p w14:paraId="1E1C1C25"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c>
          <w:tcPr>
            <w:tcW w:w="1134" w:type="dxa"/>
            <w:noWrap/>
            <w:hideMark/>
          </w:tcPr>
          <w:p w14:paraId="37707CE7"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0,125</w:t>
            </w:r>
          </w:p>
        </w:tc>
        <w:tc>
          <w:tcPr>
            <w:tcW w:w="1134" w:type="dxa"/>
            <w:tcBorders>
              <w:right w:val="single" w:sz="12" w:space="0" w:color="auto"/>
            </w:tcBorders>
            <w:noWrap/>
            <w:hideMark/>
          </w:tcPr>
          <w:p w14:paraId="71746C0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r w:rsidRPr="00B67972">
              <w:rPr>
                <w:rFonts w:ascii="Calibri" w:hAnsi="Calibri" w:cs="Calibri"/>
                <w:color w:val="000000"/>
                <w:sz w:val="18"/>
                <w:szCs w:val="18"/>
                <w:lang w:val="en-US"/>
              </w:rPr>
              <w:t>*</w:t>
            </w:r>
          </w:p>
        </w:tc>
      </w:tr>
      <w:tr w:rsidR="003D2BC1" w:rsidRPr="00087B62" w14:paraId="33FB83AD" w14:textId="77777777" w:rsidTr="00A8118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bottom w:val="single" w:sz="12" w:space="0" w:color="auto"/>
              <w:right w:val="single" w:sz="12" w:space="0" w:color="auto"/>
            </w:tcBorders>
            <w:noWrap/>
            <w:hideMark/>
          </w:tcPr>
          <w:p w14:paraId="7A231AED"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Cell range [km]</w:t>
            </w:r>
          </w:p>
        </w:tc>
        <w:tc>
          <w:tcPr>
            <w:tcW w:w="1134" w:type="dxa"/>
            <w:tcBorders>
              <w:left w:val="single" w:sz="12" w:space="0" w:color="auto"/>
              <w:bottom w:val="single" w:sz="12" w:space="0" w:color="auto"/>
            </w:tcBorders>
            <w:noWrap/>
            <w:hideMark/>
          </w:tcPr>
          <w:p w14:paraId="2FCCEDFC"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30</w:t>
            </w:r>
          </w:p>
        </w:tc>
        <w:tc>
          <w:tcPr>
            <w:tcW w:w="1134" w:type="dxa"/>
            <w:tcBorders>
              <w:bottom w:val="single" w:sz="12" w:space="0" w:color="auto"/>
            </w:tcBorders>
            <w:noWrap/>
            <w:hideMark/>
          </w:tcPr>
          <w:p w14:paraId="63D2A7FF"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3</w:t>
            </w:r>
          </w:p>
        </w:tc>
        <w:tc>
          <w:tcPr>
            <w:tcW w:w="1134" w:type="dxa"/>
            <w:tcBorders>
              <w:bottom w:val="single" w:sz="12" w:space="0" w:color="auto"/>
            </w:tcBorders>
            <w:noWrap/>
            <w:hideMark/>
          </w:tcPr>
          <w:p w14:paraId="2383DE78"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12" w:space="0" w:color="auto"/>
            </w:tcBorders>
            <w:noWrap/>
            <w:hideMark/>
          </w:tcPr>
          <w:p w14:paraId="14FA6C9A"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12" w:space="0" w:color="auto"/>
              <w:right w:val="single" w:sz="12" w:space="0" w:color="auto"/>
            </w:tcBorders>
            <w:noWrap/>
            <w:hideMark/>
          </w:tcPr>
          <w:p w14:paraId="6624FC9A"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r>
      <w:tr w:rsidR="003D2BC1" w:rsidRPr="00087B62" w14:paraId="01BB5BBF" w14:textId="77777777" w:rsidTr="00A81187">
        <w:trPr>
          <w:trHeight w:val="54"/>
        </w:trPr>
        <w:tc>
          <w:tcPr>
            <w:cnfStyle w:val="001000000000" w:firstRow="0" w:lastRow="0" w:firstColumn="1" w:lastColumn="0" w:oddVBand="0" w:evenVBand="0" w:oddHBand="0" w:evenHBand="0" w:firstRowFirstColumn="0" w:firstRowLastColumn="0" w:lastRowFirstColumn="0" w:lastRowLastColumn="0"/>
            <w:tcW w:w="2820" w:type="dxa"/>
            <w:tcBorders>
              <w:top w:val="single" w:sz="12" w:space="0" w:color="auto"/>
              <w:left w:val="single" w:sz="12" w:space="0" w:color="auto"/>
              <w:right w:val="single" w:sz="12" w:space="0" w:color="auto"/>
            </w:tcBorders>
            <w:noWrap/>
            <w:hideMark/>
          </w:tcPr>
          <w:p w14:paraId="52F7549F" w14:textId="77777777" w:rsidR="003D2BC1" w:rsidRPr="00087B62" w:rsidRDefault="003D2BC1" w:rsidP="00A81187">
            <w:pPr>
              <w:spacing w:after="0"/>
              <w:rPr>
                <w:rFonts w:ascii="Calibri" w:hAnsi="Calibri" w:cs="Calibri"/>
                <w:color w:val="000000"/>
                <w:sz w:val="18"/>
                <w:szCs w:val="18"/>
                <w:lang w:val="en-US"/>
              </w:rPr>
            </w:pPr>
            <w:r>
              <w:rPr>
                <w:rFonts w:ascii="Calibri" w:hAnsi="Calibri" w:cs="Calibri"/>
                <w:color w:val="000000"/>
                <w:sz w:val="18"/>
                <w:szCs w:val="18"/>
                <w:lang w:val="en-US"/>
              </w:rPr>
              <w:t>Propagation RTT (ms)</w:t>
            </w:r>
          </w:p>
        </w:tc>
        <w:tc>
          <w:tcPr>
            <w:tcW w:w="1134" w:type="dxa"/>
            <w:tcBorders>
              <w:top w:val="single" w:sz="12" w:space="0" w:color="auto"/>
              <w:left w:val="single" w:sz="12" w:space="0" w:color="auto"/>
            </w:tcBorders>
            <w:noWrap/>
            <w:hideMark/>
          </w:tcPr>
          <w:p w14:paraId="75762A4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0.2</w:t>
            </w:r>
          </w:p>
        </w:tc>
        <w:tc>
          <w:tcPr>
            <w:tcW w:w="1134" w:type="dxa"/>
            <w:tcBorders>
              <w:top w:val="single" w:sz="12" w:space="0" w:color="auto"/>
            </w:tcBorders>
            <w:noWrap/>
            <w:hideMark/>
          </w:tcPr>
          <w:p w14:paraId="513FFF4A"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0.02</w:t>
            </w:r>
          </w:p>
        </w:tc>
        <w:tc>
          <w:tcPr>
            <w:tcW w:w="1134" w:type="dxa"/>
            <w:tcBorders>
              <w:top w:val="single" w:sz="12" w:space="0" w:color="auto"/>
            </w:tcBorders>
            <w:noWrap/>
            <w:hideMark/>
          </w:tcPr>
          <w:p w14:paraId="1F31A78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0.0067</w:t>
            </w:r>
          </w:p>
        </w:tc>
        <w:tc>
          <w:tcPr>
            <w:tcW w:w="1134" w:type="dxa"/>
            <w:tcBorders>
              <w:top w:val="single" w:sz="12" w:space="0" w:color="auto"/>
            </w:tcBorders>
            <w:noWrap/>
            <w:hideMark/>
          </w:tcPr>
          <w:p w14:paraId="4EF3CFBC"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0.0067</w:t>
            </w:r>
          </w:p>
        </w:tc>
        <w:tc>
          <w:tcPr>
            <w:tcW w:w="1134" w:type="dxa"/>
            <w:tcBorders>
              <w:top w:val="single" w:sz="12" w:space="0" w:color="auto"/>
              <w:right w:val="single" w:sz="12" w:space="0" w:color="auto"/>
            </w:tcBorders>
            <w:noWrap/>
            <w:hideMark/>
          </w:tcPr>
          <w:p w14:paraId="7A755142"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0.0067</w:t>
            </w:r>
          </w:p>
        </w:tc>
      </w:tr>
      <w:tr w:rsidR="003D2BC1" w:rsidRPr="00087B62" w14:paraId="7B74FBC2" w14:textId="77777777" w:rsidTr="00A81187">
        <w:trPr>
          <w:cnfStyle w:val="000000100000" w:firstRow="0" w:lastRow="0" w:firstColumn="0" w:lastColumn="0" w:oddVBand="0" w:evenVBand="0" w:oddHBand="1" w:evenHBand="0" w:firstRowFirstColumn="0" w:firstRowLastColumn="0" w:lastRowFirstColumn="0" w:lastRowLastColumn="0"/>
          <w:trHeight w:val="116"/>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right w:val="single" w:sz="12" w:space="0" w:color="auto"/>
            </w:tcBorders>
            <w:noWrap/>
          </w:tcPr>
          <w:p w14:paraId="0BBB7127"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Packet Tx duration</w:t>
            </w:r>
          </w:p>
        </w:tc>
        <w:tc>
          <w:tcPr>
            <w:tcW w:w="1134" w:type="dxa"/>
            <w:tcBorders>
              <w:left w:val="single" w:sz="12" w:space="0" w:color="auto"/>
            </w:tcBorders>
            <w:noWrap/>
          </w:tcPr>
          <w:p w14:paraId="30F09294"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noWrap/>
          </w:tcPr>
          <w:p w14:paraId="18340516"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noWrap/>
          </w:tcPr>
          <w:p w14:paraId="1EB3D29B"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c>
          <w:tcPr>
            <w:tcW w:w="1134" w:type="dxa"/>
            <w:noWrap/>
          </w:tcPr>
          <w:p w14:paraId="73A34994"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0,125</w:t>
            </w:r>
          </w:p>
        </w:tc>
        <w:tc>
          <w:tcPr>
            <w:tcW w:w="1134" w:type="dxa"/>
            <w:tcBorders>
              <w:right w:val="single" w:sz="12" w:space="0" w:color="auto"/>
            </w:tcBorders>
            <w:noWrap/>
          </w:tcPr>
          <w:p w14:paraId="5A4A9CFA"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r>
      <w:tr w:rsidR="003D2BC1" w:rsidRPr="00087B62" w14:paraId="06117902" w14:textId="77777777" w:rsidTr="00A81187">
        <w:trPr>
          <w:trHeight w:val="63"/>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bottom w:val="single" w:sz="4" w:space="0" w:color="auto"/>
              <w:right w:val="single" w:sz="12" w:space="0" w:color="auto"/>
            </w:tcBorders>
            <w:noWrap/>
            <w:hideMark/>
          </w:tcPr>
          <w:p w14:paraId="51EB329E"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HARQ-ACK duration</w:t>
            </w:r>
          </w:p>
        </w:tc>
        <w:tc>
          <w:tcPr>
            <w:tcW w:w="1134" w:type="dxa"/>
            <w:tcBorders>
              <w:left w:val="single" w:sz="12" w:space="0" w:color="auto"/>
              <w:bottom w:val="single" w:sz="4" w:space="0" w:color="auto"/>
            </w:tcBorders>
            <w:noWrap/>
            <w:hideMark/>
          </w:tcPr>
          <w:p w14:paraId="4701BC07"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4" w:space="0" w:color="auto"/>
            </w:tcBorders>
            <w:noWrap/>
            <w:hideMark/>
          </w:tcPr>
          <w:p w14:paraId="28973036"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tcBorders>
              <w:bottom w:val="single" w:sz="4" w:space="0" w:color="auto"/>
            </w:tcBorders>
            <w:noWrap/>
            <w:hideMark/>
          </w:tcPr>
          <w:p w14:paraId="4B214F06"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c>
          <w:tcPr>
            <w:tcW w:w="1134" w:type="dxa"/>
            <w:tcBorders>
              <w:bottom w:val="single" w:sz="4" w:space="0" w:color="auto"/>
            </w:tcBorders>
            <w:noWrap/>
            <w:hideMark/>
          </w:tcPr>
          <w:p w14:paraId="57E176FD"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0,125</w:t>
            </w:r>
          </w:p>
        </w:tc>
        <w:tc>
          <w:tcPr>
            <w:tcW w:w="1134" w:type="dxa"/>
            <w:tcBorders>
              <w:bottom w:val="single" w:sz="4" w:space="0" w:color="auto"/>
              <w:right w:val="single" w:sz="12" w:space="0" w:color="auto"/>
            </w:tcBorders>
            <w:noWrap/>
            <w:hideMark/>
          </w:tcPr>
          <w:p w14:paraId="7F9EB1A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r>
      <w:tr w:rsidR="003D2BC1" w:rsidRPr="00087B62" w14:paraId="28204BA0" w14:textId="77777777" w:rsidTr="00A81187">
        <w:trPr>
          <w:cnfStyle w:val="000000100000" w:firstRow="0" w:lastRow="0" w:firstColumn="0" w:lastColumn="0" w:oddVBand="0" w:evenVBand="0" w:oddHBand="1" w:evenHBand="0" w:firstRowFirstColumn="0" w:firstRowLastColumn="0" w:lastRowFirstColumn="0" w:lastRowLastColumn="0"/>
          <w:trHeight w:val="98"/>
        </w:trPr>
        <w:tc>
          <w:tcPr>
            <w:cnfStyle w:val="001000000000" w:firstRow="0" w:lastRow="0" w:firstColumn="1" w:lastColumn="0" w:oddVBand="0" w:evenVBand="0" w:oddHBand="0" w:evenHBand="0" w:firstRowFirstColumn="0" w:firstRowLastColumn="0" w:lastRowFirstColumn="0" w:lastRowLastColumn="0"/>
            <w:tcW w:w="2820" w:type="dxa"/>
            <w:tcBorders>
              <w:top w:val="single" w:sz="4" w:space="0" w:color="auto"/>
              <w:left w:val="single" w:sz="12" w:space="0" w:color="auto"/>
              <w:right w:val="single" w:sz="12" w:space="0" w:color="auto"/>
            </w:tcBorders>
            <w:noWrap/>
            <w:hideMark/>
          </w:tcPr>
          <w:p w14:paraId="675BFD98" w14:textId="77777777" w:rsidR="003D2BC1" w:rsidRPr="00087B62" w:rsidRDefault="003D2BC1" w:rsidP="00A81187">
            <w:pPr>
              <w:spacing w:after="0"/>
              <w:rPr>
                <w:rFonts w:ascii="Calibri" w:hAnsi="Calibri" w:cs="Calibri"/>
                <w:color w:val="D9D9D9" w:themeColor="background1" w:themeShade="D9"/>
                <w:sz w:val="18"/>
                <w:szCs w:val="18"/>
                <w:lang w:val="en-US"/>
              </w:rPr>
            </w:pPr>
            <w:r w:rsidRPr="00087B62">
              <w:rPr>
                <w:rFonts w:ascii="Calibri" w:hAnsi="Calibri" w:cs="Calibri"/>
                <w:color w:val="D9D9D9" w:themeColor="background1" w:themeShade="D9"/>
                <w:sz w:val="18"/>
                <w:szCs w:val="18"/>
                <w:lang w:val="en-US"/>
              </w:rPr>
              <w:t>UE proc delay (symbols)</w:t>
            </w:r>
          </w:p>
        </w:tc>
        <w:tc>
          <w:tcPr>
            <w:tcW w:w="1134" w:type="dxa"/>
            <w:tcBorders>
              <w:top w:val="single" w:sz="4" w:space="0" w:color="auto"/>
              <w:left w:val="single" w:sz="12" w:space="0" w:color="auto"/>
            </w:tcBorders>
            <w:noWrap/>
            <w:hideMark/>
          </w:tcPr>
          <w:p w14:paraId="4F1C8F14"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13</w:t>
            </w:r>
          </w:p>
        </w:tc>
        <w:tc>
          <w:tcPr>
            <w:tcW w:w="1134" w:type="dxa"/>
            <w:tcBorders>
              <w:top w:val="single" w:sz="4" w:space="0" w:color="auto"/>
            </w:tcBorders>
            <w:noWrap/>
            <w:hideMark/>
          </w:tcPr>
          <w:p w14:paraId="15A9CA76"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13</w:t>
            </w:r>
          </w:p>
        </w:tc>
        <w:tc>
          <w:tcPr>
            <w:tcW w:w="1134" w:type="dxa"/>
            <w:tcBorders>
              <w:top w:val="single" w:sz="4" w:space="0" w:color="auto"/>
            </w:tcBorders>
            <w:noWrap/>
            <w:hideMark/>
          </w:tcPr>
          <w:p w14:paraId="2DC8BC54"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20</w:t>
            </w:r>
          </w:p>
        </w:tc>
        <w:tc>
          <w:tcPr>
            <w:tcW w:w="1134" w:type="dxa"/>
            <w:tcBorders>
              <w:top w:val="single" w:sz="4" w:space="0" w:color="auto"/>
            </w:tcBorders>
            <w:noWrap/>
            <w:hideMark/>
          </w:tcPr>
          <w:p w14:paraId="08EDA37B"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24</w:t>
            </w:r>
          </w:p>
        </w:tc>
        <w:tc>
          <w:tcPr>
            <w:tcW w:w="1134" w:type="dxa"/>
            <w:tcBorders>
              <w:top w:val="single" w:sz="4" w:space="0" w:color="auto"/>
              <w:right w:val="single" w:sz="12" w:space="0" w:color="auto"/>
            </w:tcBorders>
            <w:noWrap/>
            <w:hideMark/>
          </w:tcPr>
          <w:p w14:paraId="1FA56BAB"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24</w:t>
            </w:r>
          </w:p>
        </w:tc>
      </w:tr>
      <w:tr w:rsidR="003D2BC1" w:rsidRPr="00087B62" w14:paraId="3355B24C" w14:textId="77777777" w:rsidTr="00A81187">
        <w:trPr>
          <w:trHeight w:val="63"/>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right w:val="single" w:sz="12" w:space="0" w:color="auto"/>
            </w:tcBorders>
            <w:noWrap/>
            <w:hideMark/>
          </w:tcPr>
          <w:p w14:paraId="7A01FE0E" w14:textId="77777777" w:rsidR="003D2BC1" w:rsidRPr="00087B62" w:rsidRDefault="003D2BC1" w:rsidP="00A81187">
            <w:pPr>
              <w:spacing w:after="0"/>
              <w:rPr>
                <w:rFonts w:ascii="Calibri" w:hAnsi="Calibri" w:cs="Calibri"/>
                <w:color w:val="D9D9D9" w:themeColor="background1" w:themeShade="D9"/>
                <w:sz w:val="18"/>
                <w:szCs w:val="18"/>
                <w:lang w:val="en-US"/>
              </w:rPr>
            </w:pPr>
            <w:r w:rsidRPr="00087B62">
              <w:rPr>
                <w:rFonts w:ascii="Calibri" w:hAnsi="Calibri" w:cs="Calibri"/>
                <w:color w:val="D9D9D9" w:themeColor="background1" w:themeShade="D9"/>
                <w:sz w:val="18"/>
                <w:szCs w:val="18"/>
                <w:lang w:val="en-US"/>
              </w:rPr>
              <w:t>+ slot alignment (symbols)</w:t>
            </w:r>
          </w:p>
        </w:tc>
        <w:tc>
          <w:tcPr>
            <w:tcW w:w="1134" w:type="dxa"/>
            <w:tcBorders>
              <w:left w:val="single" w:sz="12" w:space="0" w:color="auto"/>
            </w:tcBorders>
            <w:noWrap/>
            <w:hideMark/>
          </w:tcPr>
          <w:p w14:paraId="397C637C"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28</w:t>
            </w:r>
          </w:p>
        </w:tc>
        <w:tc>
          <w:tcPr>
            <w:tcW w:w="1134" w:type="dxa"/>
            <w:noWrap/>
            <w:hideMark/>
          </w:tcPr>
          <w:p w14:paraId="74016462"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14</w:t>
            </w:r>
          </w:p>
        </w:tc>
        <w:tc>
          <w:tcPr>
            <w:tcW w:w="1134" w:type="dxa"/>
            <w:noWrap/>
            <w:hideMark/>
          </w:tcPr>
          <w:p w14:paraId="747509B8"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28</w:t>
            </w:r>
          </w:p>
        </w:tc>
        <w:tc>
          <w:tcPr>
            <w:tcW w:w="1134" w:type="dxa"/>
            <w:noWrap/>
            <w:hideMark/>
          </w:tcPr>
          <w:p w14:paraId="4902DD7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28</w:t>
            </w:r>
          </w:p>
        </w:tc>
        <w:tc>
          <w:tcPr>
            <w:tcW w:w="1134" w:type="dxa"/>
            <w:tcBorders>
              <w:right w:val="single" w:sz="12" w:space="0" w:color="auto"/>
            </w:tcBorders>
            <w:noWrap/>
            <w:hideMark/>
          </w:tcPr>
          <w:p w14:paraId="0DF60CCC"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28</w:t>
            </w:r>
          </w:p>
        </w:tc>
      </w:tr>
      <w:tr w:rsidR="003D2BC1" w:rsidRPr="00087B62" w14:paraId="307B5A90" w14:textId="77777777" w:rsidTr="00A81187">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bottom w:val="single" w:sz="4" w:space="0" w:color="auto"/>
              <w:right w:val="single" w:sz="12" w:space="0" w:color="auto"/>
            </w:tcBorders>
            <w:noWrap/>
            <w:hideMark/>
          </w:tcPr>
          <w:p w14:paraId="79A5CC52"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 xml:space="preserve">UE </w:t>
            </w:r>
            <w:r>
              <w:rPr>
                <w:rFonts w:ascii="Calibri" w:hAnsi="Calibri" w:cs="Calibri"/>
                <w:color w:val="000000"/>
                <w:sz w:val="18"/>
                <w:szCs w:val="18"/>
                <w:lang w:val="en-US"/>
              </w:rPr>
              <w:t xml:space="preserve">proc&amp;alignment </w:t>
            </w:r>
            <w:r w:rsidRPr="00087B62">
              <w:rPr>
                <w:rFonts w:ascii="Calibri" w:hAnsi="Calibri" w:cs="Calibri"/>
                <w:color w:val="000000"/>
                <w:sz w:val="18"/>
                <w:szCs w:val="18"/>
                <w:lang w:val="en-US"/>
              </w:rPr>
              <w:t>delay (ms)</w:t>
            </w:r>
          </w:p>
        </w:tc>
        <w:tc>
          <w:tcPr>
            <w:tcW w:w="1134" w:type="dxa"/>
            <w:tcBorders>
              <w:left w:val="single" w:sz="12" w:space="0" w:color="auto"/>
              <w:bottom w:val="single" w:sz="4" w:space="0" w:color="auto"/>
            </w:tcBorders>
            <w:noWrap/>
            <w:hideMark/>
          </w:tcPr>
          <w:p w14:paraId="689C6743"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2</w:t>
            </w:r>
          </w:p>
        </w:tc>
        <w:tc>
          <w:tcPr>
            <w:tcW w:w="1134" w:type="dxa"/>
            <w:tcBorders>
              <w:bottom w:val="single" w:sz="4" w:space="0" w:color="auto"/>
            </w:tcBorders>
            <w:noWrap/>
            <w:hideMark/>
          </w:tcPr>
          <w:p w14:paraId="533270BF"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tcBorders>
              <w:bottom w:val="single" w:sz="4" w:space="0" w:color="auto"/>
            </w:tcBorders>
            <w:noWrap/>
            <w:hideMark/>
          </w:tcPr>
          <w:p w14:paraId="511C2F72"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tcBorders>
              <w:bottom w:val="single" w:sz="4" w:space="0" w:color="auto"/>
            </w:tcBorders>
            <w:noWrap/>
            <w:hideMark/>
          </w:tcPr>
          <w:p w14:paraId="4154FD02"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c>
          <w:tcPr>
            <w:tcW w:w="1134" w:type="dxa"/>
            <w:tcBorders>
              <w:bottom w:val="single" w:sz="4" w:space="0" w:color="auto"/>
              <w:right w:val="single" w:sz="12" w:space="0" w:color="auto"/>
            </w:tcBorders>
            <w:noWrap/>
            <w:hideMark/>
          </w:tcPr>
          <w:p w14:paraId="747B1256"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r>
      <w:tr w:rsidR="003D2BC1" w:rsidRPr="00087B62" w14:paraId="7D7FBD3B" w14:textId="77777777" w:rsidTr="00A81187">
        <w:trPr>
          <w:trHeight w:val="122"/>
        </w:trPr>
        <w:tc>
          <w:tcPr>
            <w:cnfStyle w:val="001000000000" w:firstRow="0" w:lastRow="0" w:firstColumn="1" w:lastColumn="0" w:oddVBand="0" w:evenVBand="0" w:oddHBand="0" w:evenHBand="0" w:firstRowFirstColumn="0" w:firstRowLastColumn="0" w:lastRowFirstColumn="0" w:lastRowLastColumn="0"/>
            <w:tcW w:w="2820" w:type="dxa"/>
            <w:tcBorders>
              <w:top w:val="single" w:sz="4" w:space="0" w:color="auto"/>
              <w:left w:val="single" w:sz="12" w:space="0" w:color="auto"/>
              <w:right w:val="single" w:sz="12" w:space="0" w:color="auto"/>
            </w:tcBorders>
            <w:noWrap/>
            <w:hideMark/>
          </w:tcPr>
          <w:p w14:paraId="074E20C1"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NB proc</w:t>
            </w:r>
            <w:r>
              <w:rPr>
                <w:rFonts w:ascii="Calibri" w:hAnsi="Calibri" w:cs="Calibri"/>
                <w:color w:val="000000"/>
                <w:sz w:val="18"/>
                <w:szCs w:val="18"/>
                <w:lang w:val="en-US"/>
              </w:rPr>
              <w:t>essing</w:t>
            </w:r>
            <w:r w:rsidRPr="00087B62">
              <w:rPr>
                <w:rFonts w:ascii="Calibri" w:hAnsi="Calibri" w:cs="Calibri"/>
                <w:color w:val="000000"/>
                <w:sz w:val="18"/>
                <w:szCs w:val="18"/>
                <w:lang w:val="en-US"/>
              </w:rPr>
              <w:t xml:space="preserve"> delay (ms)</w:t>
            </w:r>
          </w:p>
        </w:tc>
        <w:tc>
          <w:tcPr>
            <w:tcW w:w="1134" w:type="dxa"/>
            <w:tcBorders>
              <w:top w:val="single" w:sz="4" w:space="0" w:color="auto"/>
              <w:left w:val="single" w:sz="12" w:space="0" w:color="auto"/>
            </w:tcBorders>
            <w:noWrap/>
            <w:hideMark/>
          </w:tcPr>
          <w:p w14:paraId="5B4B48CE"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2,25</w:t>
            </w:r>
          </w:p>
        </w:tc>
        <w:tc>
          <w:tcPr>
            <w:tcW w:w="1134" w:type="dxa"/>
            <w:tcBorders>
              <w:top w:val="single" w:sz="4" w:space="0" w:color="auto"/>
            </w:tcBorders>
            <w:noWrap/>
            <w:hideMark/>
          </w:tcPr>
          <w:p w14:paraId="7234E59E"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1,25</w:t>
            </w:r>
          </w:p>
        </w:tc>
        <w:tc>
          <w:tcPr>
            <w:tcW w:w="1134" w:type="dxa"/>
            <w:tcBorders>
              <w:top w:val="single" w:sz="4" w:space="0" w:color="auto"/>
            </w:tcBorders>
            <w:noWrap/>
            <w:hideMark/>
          </w:tcPr>
          <w:p w14:paraId="7259D5FB"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0,75</w:t>
            </w:r>
          </w:p>
        </w:tc>
        <w:tc>
          <w:tcPr>
            <w:tcW w:w="1134" w:type="dxa"/>
            <w:tcBorders>
              <w:top w:val="single" w:sz="4" w:space="0" w:color="auto"/>
            </w:tcBorders>
            <w:noWrap/>
            <w:hideMark/>
          </w:tcPr>
          <w:p w14:paraId="7B72FA7D"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tcBorders>
              <w:top w:val="single" w:sz="4" w:space="0" w:color="auto"/>
              <w:right w:val="single" w:sz="12" w:space="0" w:color="auto"/>
            </w:tcBorders>
            <w:noWrap/>
            <w:hideMark/>
          </w:tcPr>
          <w:p w14:paraId="0500747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0,75</w:t>
            </w:r>
          </w:p>
        </w:tc>
      </w:tr>
      <w:tr w:rsidR="003D2BC1" w:rsidRPr="00087B62" w14:paraId="19AA4CB9" w14:textId="77777777" w:rsidTr="00A81187">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bottom w:val="single" w:sz="12" w:space="0" w:color="auto"/>
              <w:right w:val="single" w:sz="12" w:space="0" w:color="auto"/>
            </w:tcBorders>
            <w:noWrap/>
            <w:hideMark/>
          </w:tcPr>
          <w:p w14:paraId="288B8AC1"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FH 2-way delay (ms)</w:t>
            </w:r>
          </w:p>
        </w:tc>
        <w:tc>
          <w:tcPr>
            <w:tcW w:w="1134" w:type="dxa"/>
            <w:tcBorders>
              <w:left w:val="single" w:sz="12" w:space="0" w:color="auto"/>
              <w:bottom w:val="single" w:sz="12" w:space="0" w:color="auto"/>
            </w:tcBorders>
            <w:noWrap/>
            <w:hideMark/>
          </w:tcPr>
          <w:p w14:paraId="0C56CD95"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12" w:space="0" w:color="auto"/>
            </w:tcBorders>
            <w:noWrap/>
            <w:hideMark/>
          </w:tcPr>
          <w:p w14:paraId="79197AD5"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12" w:space="0" w:color="auto"/>
            </w:tcBorders>
            <w:noWrap/>
            <w:hideMark/>
          </w:tcPr>
          <w:p w14:paraId="618A35F0"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12" w:space="0" w:color="auto"/>
            </w:tcBorders>
            <w:noWrap/>
            <w:hideMark/>
          </w:tcPr>
          <w:p w14:paraId="0E441C12"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12" w:space="0" w:color="auto"/>
              <w:right w:val="single" w:sz="12" w:space="0" w:color="auto"/>
            </w:tcBorders>
            <w:noWrap/>
            <w:hideMark/>
          </w:tcPr>
          <w:p w14:paraId="65F596E2"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r>
      <w:tr w:rsidR="003D2BC1" w:rsidRPr="00087B62" w14:paraId="1DEFBBD7" w14:textId="77777777" w:rsidTr="00A81187">
        <w:trPr>
          <w:trHeight w:val="222"/>
        </w:trPr>
        <w:tc>
          <w:tcPr>
            <w:cnfStyle w:val="001000000000" w:firstRow="0" w:lastRow="0" w:firstColumn="1" w:lastColumn="0" w:oddVBand="0" w:evenVBand="0" w:oddHBand="0" w:evenHBand="0" w:firstRowFirstColumn="0" w:firstRowLastColumn="0" w:lastRowFirstColumn="0" w:lastRowLastColumn="0"/>
            <w:tcW w:w="2820" w:type="dxa"/>
            <w:tcBorders>
              <w:top w:val="single" w:sz="12" w:space="0" w:color="auto"/>
              <w:left w:val="single" w:sz="12" w:space="0" w:color="auto"/>
              <w:right w:val="single" w:sz="12" w:space="0" w:color="auto"/>
            </w:tcBorders>
            <w:noWrap/>
            <w:hideMark/>
          </w:tcPr>
          <w:p w14:paraId="354E08E9" w14:textId="77777777" w:rsidR="003D2BC1" w:rsidRPr="00087B62" w:rsidRDefault="003D2BC1" w:rsidP="00A81187">
            <w:pPr>
              <w:spacing w:after="0"/>
              <w:rPr>
                <w:rFonts w:ascii="Calibri" w:hAnsi="Calibri" w:cs="Calibri"/>
                <w:b/>
                <w:bCs/>
                <w:color w:val="000000"/>
                <w:sz w:val="18"/>
                <w:szCs w:val="18"/>
                <w:lang w:val="en-US"/>
              </w:rPr>
            </w:pPr>
            <w:r w:rsidRPr="00087B62">
              <w:rPr>
                <w:rFonts w:ascii="Calibri" w:hAnsi="Calibri" w:cs="Calibri"/>
                <w:b/>
                <w:bCs/>
                <w:color w:val="000000"/>
                <w:sz w:val="18"/>
                <w:szCs w:val="18"/>
                <w:lang w:val="en-US"/>
              </w:rPr>
              <w:t>Loop RTT</w:t>
            </w:r>
          </w:p>
        </w:tc>
        <w:tc>
          <w:tcPr>
            <w:tcW w:w="1134" w:type="dxa"/>
            <w:tcBorders>
              <w:top w:val="single" w:sz="12" w:space="0" w:color="auto"/>
              <w:left w:val="single" w:sz="12" w:space="0" w:color="auto"/>
            </w:tcBorders>
            <w:noWrap/>
            <w:hideMark/>
          </w:tcPr>
          <w:p w14:paraId="0DB892DD"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7,45</w:t>
            </w:r>
          </w:p>
        </w:tc>
        <w:tc>
          <w:tcPr>
            <w:tcW w:w="1134" w:type="dxa"/>
            <w:tcBorders>
              <w:top w:val="single" w:sz="12" w:space="0" w:color="auto"/>
            </w:tcBorders>
            <w:noWrap/>
            <w:hideMark/>
          </w:tcPr>
          <w:p w14:paraId="7CE6CEF2"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3,77</w:t>
            </w:r>
          </w:p>
        </w:tc>
        <w:tc>
          <w:tcPr>
            <w:tcW w:w="1134" w:type="dxa"/>
            <w:tcBorders>
              <w:top w:val="single" w:sz="12" w:space="0" w:color="auto"/>
            </w:tcBorders>
            <w:noWrap/>
            <w:hideMark/>
          </w:tcPr>
          <w:p w14:paraId="3D9E0FA0"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2,76</w:t>
            </w:r>
          </w:p>
        </w:tc>
        <w:tc>
          <w:tcPr>
            <w:tcW w:w="1134" w:type="dxa"/>
            <w:tcBorders>
              <w:top w:val="single" w:sz="12" w:space="0" w:color="auto"/>
            </w:tcBorders>
            <w:noWrap/>
            <w:hideMark/>
          </w:tcPr>
          <w:p w14:paraId="73CA54BF"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2,01</w:t>
            </w:r>
          </w:p>
        </w:tc>
        <w:tc>
          <w:tcPr>
            <w:tcW w:w="1134" w:type="dxa"/>
            <w:tcBorders>
              <w:top w:val="single" w:sz="12" w:space="0" w:color="auto"/>
              <w:right w:val="single" w:sz="12" w:space="0" w:color="auto"/>
            </w:tcBorders>
            <w:noWrap/>
            <w:hideMark/>
          </w:tcPr>
          <w:p w14:paraId="34222B9B"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2,51</w:t>
            </w:r>
          </w:p>
        </w:tc>
      </w:tr>
      <w:tr w:rsidR="003D2BC1" w:rsidRPr="00087B62" w14:paraId="72FCF49A" w14:textId="77777777" w:rsidTr="00A81187">
        <w:trPr>
          <w:cnfStyle w:val="000000100000" w:firstRow="0" w:lastRow="0" w:firstColumn="0" w:lastColumn="0" w:oddVBand="0" w:evenVBand="0" w:oddHBand="1"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bottom w:val="single" w:sz="12" w:space="0" w:color="auto"/>
              <w:right w:val="single" w:sz="12" w:space="0" w:color="auto"/>
            </w:tcBorders>
            <w:noWrap/>
            <w:hideMark/>
          </w:tcPr>
          <w:p w14:paraId="1105FB7A" w14:textId="77777777" w:rsidR="003D2BC1" w:rsidRPr="00087B62" w:rsidRDefault="003D2BC1" w:rsidP="00A81187">
            <w:pPr>
              <w:spacing w:after="0"/>
              <w:rPr>
                <w:rFonts w:ascii="Calibri" w:hAnsi="Calibri" w:cs="Calibri"/>
                <w:b/>
                <w:bCs/>
                <w:color w:val="000000"/>
                <w:sz w:val="18"/>
                <w:szCs w:val="18"/>
                <w:lang w:val="en-US"/>
              </w:rPr>
            </w:pPr>
            <w:r w:rsidRPr="00087B62">
              <w:rPr>
                <w:rFonts w:ascii="Calibri" w:hAnsi="Calibri" w:cs="Calibri"/>
                <w:b/>
                <w:bCs/>
                <w:color w:val="000000"/>
                <w:sz w:val="18"/>
                <w:szCs w:val="18"/>
                <w:lang w:val="en-US"/>
              </w:rPr>
              <w:t>Actual HARQ RTT</w:t>
            </w:r>
          </w:p>
        </w:tc>
        <w:tc>
          <w:tcPr>
            <w:tcW w:w="1134" w:type="dxa"/>
            <w:tcBorders>
              <w:left w:val="single" w:sz="12" w:space="0" w:color="auto"/>
              <w:bottom w:val="single" w:sz="12" w:space="0" w:color="auto"/>
            </w:tcBorders>
            <w:noWrap/>
            <w:hideMark/>
          </w:tcPr>
          <w:p w14:paraId="2D8D3F07"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8,00</w:t>
            </w:r>
          </w:p>
        </w:tc>
        <w:tc>
          <w:tcPr>
            <w:tcW w:w="1134" w:type="dxa"/>
            <w:tcBorders>
              <w:bottom w:val="single" w:sz="12" w:space="0" w:color="auto"/>
            </w:tcBorders>
            <w:noWrap/>
            <w:hideMark/>
          </w:tcPr>
          <w:p w14:paraId="1EB7C2DE"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4,00</w:t>
            </w:r>
          </w:p>
        </w:tc>
        <w:tc>
          <w:tcPr>
            <w:tcW w:w="1134" w:type="dxa"/>
            <w:tcBorders>
              <w:bottom w:val="single" w:sz="12" w:space="0" w:color="auto"/>
            </w:tcBorders>
            <w:noWrap/>
            <w:hideMark/>
          </w:tcPr>
          <w:p w14:paraId="0ABB7187"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3,00</w:t>
            </w:r>
          </w:p>
        </w:tc>
        <w:tc>
          <w:tcPr>
            <w:tcW w:w="1134" w:type="dxa"/>
            <w:tcBorders>
              <w:bottom w:val="single" w:sz="12" w:space="0" w:color="auto"/>
            </w:tcBorders>
            <w:noWrap/>
            <w:hideMark/>
          </w:tcPr>
          <w:p w14:paraId="53FF0855"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2,125</w:t>
            </w:r>
          </w:p>
        </w:tc>
        <w:tc>
          <w:tcPr>
            <w:tcW w:w="1134" w:type="dxa"/>
            <w:tcBorders>
              <w:bottom w:val="single" w:sz="12" w:space="0" w:color="auto"/>
              <w:right w:val="single" w:sz="12" w:space="0" w:color="auto"/>
            </w:tcBorders>
            <w:noWrap/>
            <w:hideMark/>
          </w:tcPr>
          <w:p w14:paraId="79EF78DF"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2,750</w:t>
            </w:r>
          </w:p>
        </w:tc>
      </w:tr>
    </w:tbl>
    <w:p w14:paraId="6D409FDE" w14:textId="77777777" w:rsidR="003D2BC1" w:rsidRDefault="003D2BC1" w:rsidP="003D2BC1">
      <w:pPr>
        <w:rPr>
          <w:lang w:eastAsia="zh-CN"/>
        </w:rPr>
      </w:pPr>
      <w:r>
        <w:rPr>
          <w:lang w:eastAsia="zh-CN"/>
        </w:rPr>
        <w:t>*TB repeated across two consecutive slots</w:t>
      </w:r>
    </w:p>
    <w:p w14:paraId="63420574" w14:textId="77777777" w:rsidR="003D2BC1" w:rsidRDefault="003D2BC1" w:rsidP="003D2BC1">
      <w:pPr>
        <w:ind w:left="1420" w:hanging="1132"/>
        <w:rPr>
          <w:lang w:eastAsia="zh-CN"/>
        </w:rPr>
      </w:pPr>
      <w:r w:rsidRPr="00C80C97">
        <w:rPr>
          <w:b/>
          <w:lang w:eastAsia="zh-CN"/>
        </w:rPr>
        <w:t xml:space="preserve">Proposal </w:t>
      </w:r>
      <w:r>
        <w:rPr>
          <w:b/>
          <w:lang w:eastAsia="zh-CN"/>
        </w:rPr>
        <w:t>4</w:t>
      </w:r>
      <w:r>
        <w:rPr>
          <w:lang w:eastAsia="zh-CN"/>
        </w:rPr>
        <w:t>:</w:t>
      </w:r>
      <w:r>
        <w:rPr>
          <w:lang w:eastAsia="zh-CN"/>
        </w:rPr>
        <w:tab/>
        <w:t>For the purposes of RLC buffer size calculation, assume 8, 4, 3 and 2 ms HARQ RTT for subcarrier spacings of 15, 30, 60 and 120 kHz respectively.</w:t>
      </w:r>
    </w:p>
    <w:p w14:paraId="5FF0E443" w14:textId="532491BD" w:rsidR="00CD4C7B" w:rsidRPr="006E13D1" w:rsidRDefault="00CD4C7B" w:rsidP="00CD4C7B">
      <w:pPr>
        <w:pStyle w:val="Heading1"/>
      </w:pPr>
      <w:r w:rsidRPr="006E13D1">
        <w:lastRenderedPageBreak/>
        <w:t>3</w:t>
      </w:r>
      <w:r w:rsidRPr="006E13D1">
        <w:tab/>
      </w:r>
      <w:r w:rsidR="00935AA6">
        <w:t>RLC RTT v/s SCS</w:t>
      </w:r>
    </w:p>
    <w:p w14:paraId="06494322" w14:textId="2373186B" w:rsidR="00CD4C7B" w:rsidRDefault="00935AA6" w:rsidP="00935AA6">
      <w:r>
        <w:t>Based on the analysis in the previous section, the RLC RTT can be computed as follows:</w:t>
      </w:r>
    </w:p>
    <w:p w14:paraId="59E4D997" w14:textId="70EDBDE7" w:rsidR="00674168" w:rsidRPr="00685B00" w:rsidRDefault="00674168" w:rsidP="00674168">
      <w:pPr>
        <w:ind w:left="284" w:firstLine="284"/>
        <w:jc w:val="center"/>
        <w:rPr>
          <w:rFonts w:ascii="Arial" w:eastAsia="Malgun Gothic" w:hAnsi="Arial" w:cs="Arial"/>
          <w:b/>
        </w:rPr>
      </w:pPr>
      <w:r w:rsidRPr="00685B00">
        <w:rPr>
          <w:rFonts w:ascii="Arial" w:eastAsia="Malgun Gothic" w:hAnsi="Arial" w:cs="Arial"/>
          <w:b/>
        </w:rPr>
        <w:t xml:space="preserve">Table </w:t>
      </w:r>
      <w:r>
        <w:rPr>
          <w:rFonts w:ascii="Arial" w:eastAsia="Malgun Gothic" w:hAnsi="Arial" w:cs="Arial"/>
          <w:b/>
        </w:rPr>
        <w:t>3-</w:t>
      </w:r>
      <w:r w:rsidRPr="00685B00">
        <w:rPr>
          <w:rFonts w:ascii="Arial" w:eastAsia="Malgun Gothic" w:hAnsi="Arial" w:cs="Arial"/>
          <w:b/>
        </w:rPr>
        <w:t>1:</w:t>
      </w:r>
      <w:r>
        <w:rPr>
          <w:rFonts w:ascii="Arial" w:eastAsia="Malgun Gothic" w:hAnsi="Arial" w:cs="Arial"/>
          <w:b/>
        </w:rPr>
        <w:t xml:space="preserve"> RLC RTT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74168" w:rsidRPr="00FD7CED" w14:paraId="69BEED9D" w14:textId="77777777" w:rsidTr="00685B00">
        <w:trPr>
          <w:cantSplit/>
          <w:tblHeader/>
          <w:jc w:val="center"/>
        </w:trPr>
        <w:tc>
          <w:tcPr>
            <w:tcW w:w="2406" w:type="dxa"/>
          </w:tcPr>
          <w:p w14:paraId="3B7C6B1E" w14:textId="77777777" w:rsidR="00674168" w:rsidRPr="00FD7CED" w:rsidRDefault="00674168" w:rsidP="00685B00">
            <w:pPr>
              <w:pStyle w:val="TAH"/>
              <w:rPr>
                <w:rFonts w:cs="Arial"/>
                <w:szCs w:val="18"/>
              </w:rPr>
            </w:pPr>
            <w:r w:rsidRPr="00FD7CED">
              <w:rPr>
                <w:rFonts w:cs="Arial"/>
                <w:szCs w:val="18"/>
              </w:rPr>
              <w:t>SCS (KHz)</w:t>
            </w:r>
          </w:p>
        </w:tc>
        <w:tc>
          <w:tcPr>
            <w:tcW w:w="1957" w:type="dxa"/>
          </w:tcPr>
          <w:p w14:paraId="2F264201" w14:textId="77777777" w:rsidR="00674168" w:rsidRPr="00FD7CED" w:rsidRDefault="00674168" w:rsidP="00685B00">
            <w:pPr>
              <w:pStyle w:val="TAH"/>
              <w:rPr>
                <w:rFonts w:cs="Arial"/>
                <w:szCs w:val="18"/>
              </w:rPr>
            </w:pPr>
            <w:r w:rsidRPr="00FD7CED">
              <w:rPr>
                <w:rFonts w:cs="Arial"/>
                <w:szCs w:val="18"/>
              </w:rPr>
              <w:t>RLC RTT (ms)</w:t>
            </w:r>
          </w:p>
        </w:tc>
      </w:tr>
      <w:tr w:rsidR="00674168" w:rsidRPr="00FD7CED" w14:paraId="19281C8E" w14:textId="77777777" w:rsidTr="00685B00">
        <w:trPr>
          <w:cantSplit/>
          <w:jc w:val="center"/>
        </w:trPr>
        <w:tc>
          <w:tcPr>
            <w:tcW w:w="2406" w:type="dxa"/>
          </w:tcPr>
          <w:p w14:paraId="5CAE844A" w14:textId="77777777" w:rsidR="00674168" w:rsidRPr="00685B00" w:rsidRDefault="00674168" w:rsidP="00685B00">
            <w:pPr>
              <w:pStyle w:val="TAL"/>
              <w:jc w:val="center"/>
              <w:rPr>
                <w:rFonts w:cs="Arial"/>
                <w:bCs/>
                <w:iCs/>
                <w:szCs w:val="18"/>
              </w:rPr>
            </w:pPr>
            <w:r w:rsidRPr="00FD7CED">
              <w:rPr>
                <w:rFonts w:cs="Arial"/>
                <w:bCs/>
                <w:iCs/>
                <w:szCs w:val="18"/>
              </w:rPr>
              <w:t>15KHz</w:t>
            </w:r>
          </w:p>
        </w:tc>
        <w:tc>
          <w:tcPr>
            <w:tcW w:w="1957" w:type="dxa"/>
          </w:tcPr>
          <w:p w14:paraId="2E15E612" w14:textId="6B9B3FED" w:rsidR="00674168" w:rsidRPr="00FD7CED" w:rsidRDefault="00674168" w:rsidP="00685B00">
            <w:pPr>
              <w:pStyle w:val="TAL"/>
              <w:jc w:val="center"/>
              <w:rPr>
                <w:rFonts w:cs="Arial"/>
                <w:bCs/>
                <w:iCs/>
                <w:szCs w:val="18"/>
              </w:rPr>
            </w:pPr>
            <w:r>
              <w:rPr>
                <w:rFonts w:cs="Arial"/>
                <w:bCs/>
                <w:iCs/>
                <w:szCs w:val="18"/>
              </w:rPr>
              <w:t>72</w:t>
            </w:r>
          </w:p>
        </w:tc>
      </w:tr>
      <w:tr w:rsidR="00674168" w:rsidRPr="00FD7CED" w14:paraId="52299D60" w14:textId="77777777" w:rsidTr="00685B00">
        <w:trPr>
          <w:cantSplit/>
          <w:trHeight w:val="47"/>
          <w:jc w:val="center"/>
        </w:trPr>
        <w:tc>
          <w:tcPr>
            <w:tcW w:w="2406" w:type="dxa"/>
          </w:tcPr>
          <w:p w14:paraId="32DC2929" w14:textId="77777777" w:rsidR="00674168" w:rsidRPr="00685B00" w:rsidRDefault="00674168" w:rsidP="00685B00">
            <w:pPr>
              <w:pStyle w:val="TAL"/>
              <w:jc w:val="center"/>
              <w:rPr>
                <w:rFonts w:cs="Arial"/>
                <w:bCs/>
                <w:iCs/>
                <w:szCs w:val="18"/>
              </w:rPr>
            </w:pPr>
            <w:r w:rsidRPr="00FD7CED">
              <w:rPr>
                <w:rFonts w:cs="Arial"/>
                <w:bCs/>
                <w:iCs/>
                <w:szCs w:val="18"/>
              </w:rPr>
              <w:t>30KHz</w:t>
            </w:r>
          </w:p>
        </w:tc>
        <w:tc>
          <w:tcPr>
            <w:tcW w:w="1957" w:type="dxa"/>
          </w:tcPr>
          <w:p w14:paraId="4323DEDD" w14:textId="3DF04E6D" w:rsidR="00674168" w:rsidRPr="00FD7CED" w:rsidRDefault="00674168" w:rsidP="00685B00">
            <w:pPr>
              <w:pStyle w:val="TAL"/>
              <w:jc w:val="center"/>
              <w:rPr>
                <w:rFonts w:cs="Arial"/>
                <w:bCs/>
                <w:iCs/>
                <w:szCs w:val="18"/>
              </w:rPr>
            </w:pPr>
            <w:r>
              <w:rPr>
                <w:rFonts w:cs="Arial"/>
                <w:bCs/>
                <w:iCs/>
                <w:szCs w:val="18"/>
              </w:rPr>
              <w:t>36</w:t>
            </w:r>
          </w:p>
        </w:tc>
      </w:tr>
      <w:tr w:rsidR="00674168" w:rsidRPr="00FD7CED" w14:paraId="27EB3033" w14:textId="77777777" w:rsidTr="00685B00">
        <w:trPr>
          <w:cantSplit/>
          <w:jc w:val="center"/>
        </w:trPr>
        <w:tc>
          <w:tcPr>
            <w:tcW w:w="2406" w:type="dxa"/>
          </w:tcPr>
          <w:p w14:paraId="21874498" w14:textId="77777777" w:rsidR="00674168" w:rsidRPr="00FD7CED" w:rsidRDefault="00674168" w:rsidP="00685B00">
            <w:pPr>
              <w:pStyle w:val="TAL"/>
              <w:jc w:val="center"/>
              <w:rPr>
                <w:rFonts w:cs="Arial"/>
                <w:bCs/>
                <w:iCs/>
                <w:szCs w:val="18"/>
              </w:rPr>
            </w:pPr>
            <w:r w:rsidRPr="00FD7CED">
              <w:rPr>
                <w:rFonts w:cs="Arial"/>
                <w:bCs/>
                <w:iCs/>
                <w:szCs w:val="18"/>
              </w:rPr>
              <w:t>60KHz</w:t>
            </w:r>
          </w:p>
        </w:tc>
        <w:tc>
          <w:tcPr>
            <w:tcW w:w="1957" w:type="dxa"/>
          </w:tcPr>
          <w:p w14:paraId="5D5F3117" w14:textId="46FD71A8" w:rsidR="00674168" w:rsidRPr="00FD7CED" w:rsidRDefault="00674168" w:rsidP="00685B00">
            <w:pPr>
              <w:pStyle w:val="TAL"/>
              <w:jc w:val="center"/>
              <w:rPr>
                <w:rFonts w:cs="Arial"/>
                <w:bCs/>
                <w:iCs/>
                <w:szCs w:val="18"/>
              </w:rPr>
            </w:pPr>
            <w:r>
              <w:rPr>
                <w:rFonts w:cs="Arial"/>
                <w:bCs/>
                <w:iCs/>
                <w:szCs w:val="18"/>
              </w:rPr>
              <w:t>27</w:t>
            </w:r>
          </w:p>
        </w:tc>
      </w:tr>
      <w:tr w:rsidR="00674168" w:rsidRPr="00FD7CED" w14:paraId="5A2DF7D3" w14:textId="77777777" w:rsidTr="00685B00">
        <w:trPr>
          <w:cantSplit/>
          <w:jc w:val="center"/>
        </w:trPr>
        <w:tc>
          <w:tcPr>
            <w:tcW w:w="2406" w:type="dxa"/>
          </w:tcPr>
          <w:p w14:paraId="04A4DD23" w14:textId="77777777" w:rsidR="00674168" w:rsidRPr="00FD7CED" w:rsidRDefault="00674168" w:rsidP="00685B00">
            <w:pPr>
              <w:pStyle w:val="TAL"/>
              <w:jc w:val="center"/>
              <w:rPr>
                <w:rFonts w:cs="Arial"/>
                <w:bCs/>
                <w:iCs/>
                <w:szCs w:val="18"/>
              </w:rPr>
            </w:pPr>
            <w:r w:rsidRPr="00FD7CED">
              <w:rPr>
                <w:rFonts w:cs="Arial"/>
                <w:bCs/>
                <w:iCs/>
                <w:szCs w:val="18"/>
              </w:rPr>
              <w:t>120KHz</w:t>
            </w:r>
          </w:p>
        </w:tc>
        <w:tc>
          <w:tcPr>
            <w:tcW w:w="1957" w:type="dxa"/>
          </w:tcPr>
          <w:p w14:paraId="43C43B91" w14:textId="03FE0D81" w:rsidR="00674168" w:rsidRPr="00FD7CED" w:rsidRDefault="00674168" w:rsidP="00685B00">
            <w:pPr>
              <w:pStyle w:val="TAL"/>
              <w:jc w:val="center"/>
              <w:rPr>
                <w:rFonts w:cs="Arial"/>
                <w:bCs/>
                <w:iCs/>
                <w:szCs w:val="18"/>
              </w:rPr>
            </w:pPr>
            <w:r>
              <w:rPr>
                <w:rFonts w:cs="Arial"/>
                <w:bCs/>
                <w:iCs/>
                <w:szCs w:val="18"/>
              </w:rPr>
              <w:t>18</w:t>
            </w:r>
          </w:p>
        </w:tc>
      </w:tr>
    </w:tbl>
    <w:p w14:paraId="117C77F2" w14:textId="77777777" w:rsidR="00935AA6" w:rsidRPr="006E13D1" w:rsidRDefault="00935AA6" w:rsidP="00935AA6"/>
    <w:p w14:paraId="43A12B72" w14:textId="59DD2707" w:rsidR="00CD4C7B" w:rsidRPr="006E13D1" w:rsidRDefault="00CD4C7B" w:rsidP="00CD4C7B">
      <w:pPr>
        <w:pStyle w:val="Heading1"/>
      </w:pPr>
      <w:r w:rsidRPr="006E13D1">
        <w:t>4</w:t>
      </w:r>
      <w:r w:rsidRPr="006E13D1">
        <w:tab/>
      </w:r>
      <w:r w:rsidR="00674168">
        <w:t>Conclusion</w:t>
      </w:r>
    </w:p>
    <w:p w14:paraId="190C81D1" w14:textId="6002C92C" w:rsidR="00CD4C7B" w:rsidRDefault="00A76D3B" w:rsidP="00CD4C7B">
      <w:r>
        <w:t xml:space="preserve">In this contribution, </w:t>
      </w:r>
      <w:r w:rsidR="00346DBC">
        <w:t>different aspects concerning the dimensioning of the UE L2 buffer size have been considered. In the analysis, the UL and DL buffering components, HARQ RTT per SCS and finally the RLC RTT have been proposed. Based on the above recommendations, the following proposals are made:</w:t>
      </w:r>
    </w:p>
    <w:p w14:paraId="3451227F" w14:textId="77777777" w:rsidR="00346DBC" w:rsidRDefault="00346DBC" w:rsidP="00346DBC">
      <w:pPr>
        <w:ind w:left="1420" w:hanging="1132"/>
      </w:pPr>
      <w:r w:rsidRPr="00140C40">
        <w:rPr>
          <w:b/>
        </w:rPr>
        <w:t>Proposal 1</w:t>
      </w:r>
      <w:r>
        <w:t>:</w:t>
      </w:r>
      <w:r>
        <w:tab/>
        <w:t xml:space="preserve">With given band configuration (band combination, BPC) in MR-DC, the previously agreed uplink term </w:t>
      </w:r>
      <w:r w:rsidRPr="00122534">
        <w:t>MaxULDataRate * RTT</w:t>
      </w:r>
      <w:r>
        <w:t xml:space="preserve"> in the UE’s buffer-size requirement is the maximum over the uplinks of MN and SN, i.e. equals </w:t>
      </w:r>
      <w:r>
        <w:br/>
        <w:t>max {</w:t>
      </w:r>
      <w:r w:rsidRPr="00140C40">
        <w:t xml:space="preserve"> MaxULDataRate_MN * RTT_MN; MaxULDataRate_SN * RTT_SN }</w:t>
      </w:r>
      <w:r>
        <w:t>.</w:t>
      </w:r>
    </w:p>
    <w:p w14:paraId="081D6174" w14:textId="77777777" w:rsidR="00346DBC" w:rsidRDefault="00346DBC" w:rsidP="00346DBC">
      <w:pPr>
        <w:ind w:left="1420" w:hanging="1132"/>
      </w:pPr>
      <w:r w:rsidRPr="009A78A9">
        <w:rPr>
          <w:b/>
        </w:rPr>
        <w:t>Proposal 2</w:t>
      </w:r>
      <w:r>
        <w:t>:</w:t>
      </w:r>
      <w:r>
        <w:tab/>
        <w:t xml:space="preserve">With given band configuration (band combination, BPC) in MR-DC, the downlink term in the UE’s buffer-size requirement is the maximum over MN-terminated and SN-terminated split bearers, i.e. equals </w:t>
      </w:r>
      <w:r>
        <w:br/>
        <w:t>max {</w:t>
      </w:r>
      <w:r>
        <w:br/>
      </w:r>
      <w:r w:rsidRPr="007B292D">
        <w:rPr>
          <w:lang w:eastAsia="zh-CN"/>
        </w:rPr>
        <w:t>MaxDLDataRate_SN * RTT_SN + MaxDLDataRate_MN * (RTT_SN + Xn delay + Queuing in SN)</w:t>
      </w:r>
      <w:r>
        <w:rPr>
          <w:lang w:eastAsia="zh-CN"/>
        </w:rPr>
        <w:t>,</w:t>
      </w:r>
      <w:r>
        <w:rPr>
          <w:lang w:eastAsia="zh-CN"/>
        </w:rPr>
        <w:br/>
      </w:r>
      <w:r w:rsidRPr="00282B64">
        <w:t>MaxDLDataRate_</w:t>
      </w:r>
      <w:r>
        <w:t>M</w:t>
      </w:r>
      <w:r w:rsidRPr="00282B64">
        <w:t>N * RTT_</w:t>
      </w:r>
      <w:r>
        <w:t>M</w:t>
      </w:r>
      <w:r w:rsidRPr="00282B64">
        <w:t>N + MaxDLDataRate_</w:t>
      </w:r>
      <w:r>
        <w:t>S</w:t>
      </w:r>
      <w:r w:rsidRPr="00282B64">
        <w:t>N * (RTT_</w:t>
      </w:r>
      <w:r>
        <w:t>M</w:t>
      </w:r>
      <w:r w:rsidRPr="00282B64">
        <w:t xml:space="preserve">N + Xn delay + Queuing in </w:t>
      </w:r>
      <w:r>
        <w:t>M</w:t>
      </w:r>
      <w:r w:rsidRPr="00282B64">
        <w:t>N)</w:t>
      </w:r>
      <w:r>
        <w:t>}.</w:t>
      </w:r>
    </w:p>
    <w:p w14:paraId="5C5C97DE" w14:textId="77777777" w:rsidR="00346DBC" w:rsidRDefault="00346DBC" w:rsidP="00346DBC">
      <w:pPr>
        <w:ind w:left="1420" w:hanging="1132"/>
        <w:rPr>
          <w:lang w:eastAsia="zh-CN"/>
        </w:rPr>
      </w:pPr>
      <w:r w:rsidRPr="00C80C97">
        <w:rPr>
          <w:b/>
          <w:lang w:eastAsia="zh-CN"/>
        </w:rPr>
        <w:t>Proposal 3</w:t>
      </w:r>
      <w:r>
        <w:rPr>
          <w:lang w:eastAsia="zh-CN"/>
        </w:rPr>
        <w:t>:</w:t>
      </w:r>
      <w:r>
        <w:rPr>
          <w:lang w:eastAsia="zh-CN"/>
        </w:rPr>
        <w:tab/>
        <w:t>Like with LTE, with NR the RLC RTT is assumed to equal 9 * HARQ RTT (where HARQ RTT is now numerology-specific).</w:t>
      </w:r>
    </w:p>
    <w:p w14:paraId="6089F3A7" w14:textId="5450A5C6" w:rsidR="00346DBC" w:rsidRDefault="00346DBC" w:rsidP="00346DBC">
      <w:pPr>
        <w:ind w:left="1420" w:hanging="1132"/>
        <w:rPr>
          <w:lang w:eastAsia="zh-CN"/>
        </w:rPr>
      </w:pPr>
      <w:r w:rsidRPr="00C80C97">
        <w:rPr>
          <w:b/>
          <w:lang w:eastAsia="zh-CN"/>
        </w:rPr>
        <w:t xml:space="preserve">Proposal </w:t>
      </w:r>
      <w:r>
        <w:rPr>
          <w:b/>
          <w:lang w:eastAsia="zh-CN"/>
        </w:rPr>
        <w:t>4</w:t>
      </w:r>
      <w:r>
        <w:rPr>
          <w:lang w:eastAsia="zh-CN"/>
        </w:rPr>
        <w:t>:</w:t>
      </w:r>
      <w:r>
        <w:rPr>
          <w:lang w:eastAsia="zh-CN"/>
        </w:rPr>
        <w:tab/>
        <w:t>For the purposes of RLC buffer size calculation, assume 8, 4, 3 and 2 ms HARQ RTT for subcarrier spacings of 15, 30, 60 and 120 kHz respectively.</w:t>
      </w:r>
    </w:p>
    <w:p w14:paraId="34F49052" w14:textId="6B629332" w:rsidR="00346DBC" w:rsidRDefault="00346DBC" w:rsidP="00346DBC">
      <w:pPr>
        <w:ind w:left="1420" w:hanging="1132"/>
        <w:rPr>
          <w:lang w:eastAsia="zh-CN"/>
        </w:rPr>
      </w:pPr>
      <w:r>
        <w:rPr>
          <w:b/>
          <w:lang w:eastAsia="zh-CN"/>
        </w:rPr>
        <w:t>Proposal 5</w:t>
      </w:r>
      <w:r w:rsidRPr="00346DBC">
        <w:rPr>
          <w:lang w:eastAsia="zh-CN"/>
        </w:rPr>
        <w:t>:</w:t>
      </w:r>
      <w:r>
        <w:rPr>
          <w:lang w:eastAsia="zh-CN"/>
        </w:rPr>
        <w:t xml:space="preserve">   Agree to the following RLC RTT values for NR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346DBC" w:rsidRPr="00FD7CED" w14:paraId="79B24740" w14:textId="77777777" w:rsidTr="00685B00">
        <w:trPr>
          <w:cantSplit/>
          <w:tblHeader/>
          <w:jc w:val="center"/>
        </w:trPr>
        <w:tc>
          <w:tcPr>
            <w:tcW w:w="2406" w:type="dxa"/>
          </w:tcPr>
          <w:p w14:paraId="30234E73" w14:textId="77777777" w:rsidR="00346DBC" w:rsidRPr="00FD7CED" w:rsidRDefault="00346DBC" w:rsidP="00685B00">
            <w:pPr>
              <w:pStyle w:val="TAH"/>
              <w:rPr>
                <w:rFonts w:cs="Arial"/>
                <w:szCs w:val="18"/>
              </w:rPr>
            </w:pPr>
            <w:r w:rsidRPr="00FD7CED">
              <w:rPr>
                <w:rFonts w:cs="Arial"/>
                <w:szCs w:val="18"/>
              </w:rPr>
              <w:t>SCS (KHz)</w:t>
            </w:r>
          </w:p>
        </w:tc>
        <w:tc>
          <w:tcPr>
            <w:tcW w:w="1957" w:type="dxa"/>
          </w:tcPr>
          <w:p w14:paraId="5585664C" w14:textId="77777777" w:rsidR="00346DBC" w:rsidRPr="00FD7CED" w:rsidRDefault="00346DBC" w:rsidP="00685B00">
            <w:pPr>
              <w:pStyle w:val="TAH"/>
              <w:rPr>
                <w:rFonts w:cs="Arial"/>
                <w:szCs w:val="18"/>
              </w:rPr>
            </w:pPr>
            <w:r w:rsidRPr="00FD7CED">
              <w:rPr>
                <w:rFonts w:cs="Arial"/>
                <w:szCs w:val="18"/>
              </w:rPr>
              <w:t>RLC RTT (ms)</w:t>
            </w:r>
          </w:p>
        </w:tc>
      </w:tr>
      <w:tr w:rsidR="00346DBC" w:rsidRPr="00FD7CED" w14:paraId="5CB7C13B" w14:textId="77777777" w:rsidTr="00685B00">
        <w:trPr>
          <w:cantSplit/>
          <w:jc w:val="center"/>
        </w:trPr>
        <w:tc>
          <w:tcPr>
            <w:tcW w:w="2406" w:type="dxa"/>
          </w:tcPr>
          <w:p w14:paraId="476453B1" w14:textId="77777777" w:rsidR="00346DBC" w:rsidRPr="00685B00" w:rsidRDefault="00346DBC" w:rsidP="00685B00">
            <w:pPr>
              <w:pStyle w:val="TAL"/>
              <w:jc w:val="center"/>
              <w:rPr>
                <w:rFonts w:cs="Arial"/>
                <w:bCs/>
                <w:iCs/>
                <w:szCs w:val="18"/>
              </w:rPr>
            </w:pPr>
            <w:r w:rsidRPr="00FD7CED">
              <w:rPr>
                <w:rFonts w:cs="Arial"/>
                <w:bCs/>
                <w:iCs/>
                <w:szCs w:val="18"/>
              </w:rPr>
              <w:t>15KHz</w:t>
            </w:r>
          </w:p>
        </w:tc>
        <w:tc>
          <w:tcPr>
            <w:tcW w:w="1957" w:type="dxa"/>
          </w:tcPr>
          <w:p w14:paraId="6EEB8770" w14:textId="77777777" w:rsidR="00346DBC" w:rsidRPr="00FD7CED" w:rsidRDefault="00346DBC" w:rsidP="00685B00">
            <w:pPr>
              <w:pStyle w:val="TAL"/>
              <w:jc w:val="center"/>
              <w:rPr>
                <w:rFonts w:cs="Arial"/>
                <w:bCs/>
                <w:iCs/>
                <w:szCs w:val="18"/>
              </w:rPr>
            </w:pPr>
            <w:r>
              <w:rPr>
                <w:rFonts w:cs="Arial"/>
                <w:bCs/>
                <w:iCs/>
                <w:szCs w:val="18"/>
              </w:rPr>
              <w:t>72</w:t>
            </w:r>
          </w:p>
        </w:tc>
      </w:tr>
      <w:tr w:rsidR="00346DBC" w:rsidRPr="00FD7CED" w14:paraId="3F8D5059" w14:textId="77777777" w:rsidTr="00685B00">
        <w:trPr>
          <w:cantSplit/>
          <w:trHeight w:val="47"/>
          <w:jc w:val="center"/>
        </w:trPr>
        <w:tc>
          <w:tcPr>
            <w:tcW w:w="2406" w:type="dxa"/>
          </w:tcPr>
          <w:p w14:paraId="107CE3DB" w14:textId="77777777" w:rsidR="00346DBC" w:rsidRPr="00685B00" w:rsidRDefault="00346DBC" w:rsidP="00685B00">
            <w:pPr>
              <w:pStyle w:val="TAL"/>
              <w:jc w:val="center"/>
              <w:rPr>
                <w:rFonts w:cs="Arial"/>
                <w:bCs/>
                <w:iCs/>
                <w:szCs w:val="18"/>
              </w:rPr>
            </w:pPr>
            <w:r w:rsidRPr="00FD7CED">
              <w:rPr>
                <w:rFonts w:cs="Arial"/>
                <w:bCs/>
                <w:iCs/>
                <w:szCs w:val="18"/>
              </w:rPr>
              <w:t>30KHz</w:t>
            </w:r>
          </w:p>
        </w:tc>
        <w:tc>
          <w:tcPr>
            <w:tcW w:w="1957" w:type="dxa"/>
          </w:tcPr>
          <w:p w14:paraId="223DFFDC" w14:textId="77777777" w:rsidR="00346DBC" w:rsidRPr="00FD7CED" w:rsidRDefault="00346DBC" w:rsidP="00685B00">
            <w:pPr>
              <w:pStyle w:val="TAL"/>
              <w:jc w:val="center"/>
              <w:rPr>
                <w:rFonts w:cs="Arial"/>
                <w:bCs/>
                <w:iCs/>
                <w:szCs w:val="18"/>
              </w:rPr>
            </w:pPr>
            <w:r>
              <w:rPr>
                <w:rFonts w:cs="Arial"/>
                <w:bCs/>
                <w:iCs/>
                <w:szCs w:val="18"/>
              </w:rPr>
              <w:t>36</w:t>
            </w:r>
          </w:p>
        </w:tc>
      </w:tr>
      <w:tr w:rsidR="00346DBC" w:rsidRPr="00FD7CED" w14:paraId="350198DE" w14:textId="77777777" w:rsidTr="00685B00">
        <w:trPr>
          <w:cantSplit/>
          <w:jc w:val="center"/>
        </w:trPr>
        <w:tc>
          <w:tcPr>
            <w:tcW w:w="2406" w:type="dxa"/>
          </w:tcPr>
          <w:p w14:paraId="2B502D5E" w14:textId="77777777" w:rsidR="00346DBC" w:rsidRPr="00FD7CED" w:rsidRDefault="00346DBC" w:rsidP="00685B00">
            <w:pPr>
              <w:pStyle w:val="TAL"/>
              <w:jc w:val="center"/>
              <w:rPr>
                <w:rFonts w:cs="Arial"/>
                <w:bCs/>
                <w:iCs/>
                <w:szCs w:val="18"/>
              </w:rPr>
            </w:pPr>
            <w:r w:rsidRPr="00FD7CED">
              <w:rPr>
                <w:rFonts w:cs="Arial"/>
                <w:bCs/>
                <w:iCs/>
                <w:szCs w:val="18"/>
              </w:rPr>
              <w:t>60KHz</w:t>
            </w:r>
          </w:p>
        </w:tc>
        <w:tc>
          <w:tcPr>
            <w:tcW w:w="1957" w:type="dxa"/>
          </w:tcPr>
          <w:p w14:paraId="3DE92A1E" w14:textId="77777777" w:rsidR="00346DBC" w:rsidRPr="00FD7CED" w:rsidRDefault="00346DBC" w:rsidP="00685B00">
            <w:pPr>
              <w:pStyle w:val="TAL"/>
              <w:jc w:val="center"/>
              <w:rPr>
                <w:rFonts w:cs="Arial"/>
                <w:bCs/>
                <w:iCs/>
                <w:szCs w:val="18"/>
              </w:rPr>
            </w:pPr>
            <w:r>
              <w:rPr>
                <w:rFonts w:cs="Arial"/>
                <w:bCs/>
                <w:iCs/>
                <w:szCs w:val="18"/>
              </w:rPr>
              <w:t>27</w:t>
            </w:r>
          </w:p>
        </w:tc>
      </w:tr>
      <w:tr w:rsidR="00346DBC" w:rsidRPr="00FD7CED" w14:paraId="336C1439" w14:textId="77777777" w:rsidTr="00685B00">
        <w:trPr>
          <w:cantSplit/>
          <w:jc w:val="center"/>
        </w:trPr>
        <w:tc>
          <w:tcPr>
            <w:tcW w:w="2406" w:type="dxa"/>
          </w:tcPr>
          <w:p w14:paraId="19523991" w14:textId="77777777" w:rsidR="00346DBC" w:rsidRPr="00FD7CED" w:rsidRDefault="00346DBC" w:rsidP="00685B00">
            <w:pPr>
              <w:pStyle w:val="TAL"/>
              <w:jc w:val="center"/>
              <w:rPr>
                <w:rFonts w:cs="Arial"/>
                <w:bCs/>
                <w:iCs/>
                <w:szCs w:val="18"/>
              </w:rPr>
            </w:pPr>
            <w:r w:rsidRPr="00FD7CED">
              <w:rPr>
                <w:rFonts w:cs="Arial"/>
                <w:bCs/>
                <w:iCs/>
                <w:szCs w:val="18"/>
              </w:rPr>
              <w:t>120KHz</w:t>
            </w:r>
          </w:p>
        </w:tc>
        <w:tc>
          <w:tcPr>
            <w:tcW w:w="1957" w:type="dxa"/>
          </w:tcPr>
          <w:p w14:paraId="02773D02" w14:textId="77777777" w:rsidR="00346DBC" w:rsidRPr="00FD7CED" w:rsidRDefault="00346DBC" w:rsidP="00685B00">
            <w:pPr>
              <w:pStyle w:val="TAL"/>
              <w:jc w:val="center"/>
              <w:rPr>
                <w:rFonts w:cs="Arial"/>
                <w:bCs/>
                <w:iCs/>
                <w:szCs w:val="18"/>
              </w:rPr>
            </w:pPr>
            <w:r>
              <w:rPr>
                <w:rFonts w:cs="Arial"/>
                <w:bCs/>
                <w:iCs/>
                <w:szCs w:val="18"/>
              </w:rPr>
              <w:t>18</w:t>
            </w:r>
          </w:p>
        </w:tc>
      </w:tr>
    </w:tbl>
    <w:p w14:paraId="0FDCFAC2" w14:textId="77777777" w:rsidR="00CD4C7B" w:rsidRPr="006E13D1" w:rsidRDefault="00CD4C7B" w:rsidP="00CD4C7B">
      <w:pPr>
        <w:pStyle w:val="Heading1"/>
      </w:pPr>
      <w:r w:rsidRPr="006E13D1">
        <w:t>References</w:t>
      </w:r>
    </w:p>
    <w:bookmarkStart w:id="1" w:name="_Ref75086397"/>
    <w:p w14:paraId="4AA5C936" w14:textId="5D3EDD66" w:rsidR="00CD4C7B" w:rsidRPr="006E13D1" w:rsidRDefault="00EF2AC4" w:rsidP="00EF2AC4">
      <w:pPr>
        <w:numPr>
          <w:ilvl w:val="0"/>
          <w:numId w:val="4"/>
        </w:numPr>
        <w:overflowPunct w:val="0"/>
        <w:autoSpaceDE w:val="0"/>
        <w:autoSpaceDN w:val="0"/>
        <w:adjustRightInd w:val="0"/>
        <w:textAlignment w:val="baseline"/>
      </w:pPr>
      <w:r>
        <w:fldChar w:fldCharType="begin"/>
      </w:r>
      <w:r>
        <w:instrText xml:space="preserve"> HYPERLINK "http://www.3gpp.org/ftp/TSG_RAN/WG2_RL2/TSGR2_101/Docs/R2-1802956.zip" </w:instrText>
      </w:r>
      <w:r>
        <w:fldChar w:fldCharType="separate"/>
      </w:r>
      <w:r w:rsidRPr="00EF2AC4">
        <w:rPr>
          <w:rStyle w:val="Hyperlink"/>
        </w:rPr>
        <w:t>R2-1802956</w:t>
      </w:r>
      <w:r>
        <w:fldChar w:fldCharType="end"/>
      </w:r>
      <w:r w:rsidR="00CD4C7B" w:rsidRPr="006E13D1">
        <w:t xml:space="preserve"> </w:t>
      </w:r>
      <w:bookmarkEnd w:id="1"/>
      <w:r w:rsidRPr="00EF2AC4">
        <w:rPr>
          <w:i/>
          <w:iCs/>
        </w:rPr>
        <w:t>Report of email discussion: [NR-AH1801#09][NR] L2 buffer size (Intel)</w:t>
      </w:r>
      <w:r w:rsidR="0090466A">
        <w:t xml:space="preserve"> - </w:t>
      </w:r>
      <w:r w:rsidRPr="00EF2AC4">
        <w:t>Intel Corporation</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E3567" w14:textId="77777777" w:rsidR="008F4408" w:rsidRDefault="008F4408">
      <w:r>
        <w:separator/>
      </w:r>
    </w:p>
  </w:endnote>
  <w:endnote w:type="continuationSeparator" w:id="0">
    <w:p w14:paraId="4F08CE2B" w14:textId="77777777" w:rsidR="008F4408" w:rsidRDefault="008F4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AF9B4" w14:textId="77777777" w:rsidR="008F4408" w:rsidRDefault="008F4408">
      <w:r>
        <w:separator/>
      </w:r>
    </w:p>
  </w:footnote>
  <w:footnote w:type="continuationSeparator" w:id="0">
    <w:p w14:paraId="2281146A" w14:textId="77777777" w:rsidR="008F4408" w:rsidRDefault="008F4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E045690"/>
    <w:multiLevelType w:val="hybridMultilevel"/>
    <w:tmpl w:val="13504CFE"/>
    <w:lvl w:ilvl="0" w:tplc="D3E8E7D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1FD"/>
    <w:rsid w:val="00007248"/>
    <w:rsid w:val="00033397"/>
    <w:rsid w:val="00040095"/>
    <w:rsid w:val="00054E5A"/>
    <w:rsid w:val="00080512"/>
    <w:rsid w:val="00087B62"/>
    <w:rsid w:val="00090468"/>
    <w:rsid w:val="000B0CFD"/>
    <w:rsid w:val="000B7BCF"/>
    <w:rsid w:val="000C522B"/>
    <w:rsid w:val="000D58AB"/>
    <w:rsid w:val="00112F1A"/>
    <w:rsid w:val="00122534"/>
    <w:rsid w:val="00140C40"/>
    <w:rsid w:val="00145075"/>
    <w:rsid w:val="0014651D"/>
    <w:rsid w:val="001741A0"/>
    <w:rsid w:val="00175FA0"/>
    <w:rsid w:val="00194CD0"/>
    <w:rsid w:val="001B49C9"/>
    <w:rsid w:val="001C4F79"/>
    <w:rsid w:val="001F168B"/>
    <w:rsid w:val="001F7831"/>
    <w:rsid w:val="00204045"/>
    <w:rsid w:val="0020712B"/>
    <w:rsid w:val="00216A9E"/>
    <w:rsid w:val="0022606D"/>
    <w:rsid w:val="00231728"/>
    <w:rsid w:val="002747EC"/>
    <w:rsid w:val="002855BF"/>
    <w:rsid w:val="00290C31"/>
    <w:rsid w:val="002C60DD"/>
    <w:rsid w:val="002F0D22"/>
    <w:rsid w:val="00312881"/>
    <w:rsid w:val="003172DC"/>
    <w:rsid w:val="00325AE3"/>
    <w:rsid w:val="00326069"/>
    <w:rsid w:val="00346DBC"/>
    <w:rsid w:val="0035462D"/>
    <w:rsid w:val="00364B41"/>
    <w:rsid w:val="003B29EE"/>
    <w:rsid w:val="003B40AD"/>
    <w:rsid w:val="003C4E37"/>
    <w:rsid w:val="003D2BC1"/>
    <w:rsid w:val="003E16BE"/>
    <w:rsid w:val="004006E8"/>
    <w:rsid w:val="00401855"/>
    <w:rsid w:val="00465FA7"/>
    <w:rsid w:val="00477455"/>
    <w:rsid w:val="004A1F7B"/>
    <w:rsid w:val="004A5608"/>
    <w:rsid w:val="004B09F0"/>
    <w:rsid w:val="004C44D2"/>
    <w:rsid w:val="004D3578"/>
    <w:rsid w:val="004D380D"/>
    <w:rsid w:val="004E213A"/>
    <w:rsid w:val="004F418E"/>
    <w:rsid w:val="00503171"/>
    <w:rsid w:val="00506C28"/>
    <w:rsid w:val="00534DA0"/>
    <w:rsid w:val="00543E6C"/>
    <w:rsid w:val="00565087"/>
    <w:rsid w:val="0056573F"/>
    <w:rsid w:val="005C6ED9"/>
    <w:rsid w:val="00611566"/>
    <w:rsid w:val="00646D99"/>
    <w:rsid w:val="00656438"/>
    <w:rsid w:val="00656910"/>
    <w:rsid w:val="00674168"/>
    <w:rsid w:val="006C66D8"/>
    <w:rsid w:val="006D1E24"/>
    <w:rsid w:val="006E1417"/>
    <w:rsid w:val="006F6A2C"/>
    <w:rsid w:val="00710201"/>
    <w:rsid w:val="007342B5"/>
    <w:rsid w:val="00734A5B"/>
    <w:rsid w:val="00744E76"/>
    <w:rsid w:val="00757D40"/>
    <w:rsid w:val="00781F0F"/>
    <w:rsid w:val="0078727C"/>
    <w:rsid w:val="0079049D"/>
    <w:rsid w:val="00793DC5"/>
    <w:rsid w:val="00793FCA"/>
    <w:rsid w:val="007B18D8"/>
    <w:rsid w:val="007C095F"/>
    <w:rsid w:val="008028A4"/>
    <w:rsid w:val="00813245"/>
    <w:rsid w:val="00834DB2"/>
    <w:rsid w:val="008768CA"/>
    <w:rsid w:val="00877EF9"/>
    <w:rsid w:val="00880559"/>
    <w:rsid w:val="008B5306"/>
    <w:rsid w:val="008D2E4D"/>
    <w:rsid w:val="008F4408"/>
    <w:rsid w:val="0090271F"/>
    <w:rsid w:val="00902DB9"/>
    <w:rsid w:val="0090466A"/>
    <w:rsid w:val="00924F63"/>
    <w:rsid w:val="00935AA6"/>
    <w:rsid w:val="00936071"/>
    <w:rsid w:val="00940212"/>
    <w:rsid w:val="00942EC2"/>
    <w:rsid w:val="00961B32"/>
    <w:rsid w:val="00970DB3"/>
    <w:rsid w:val="00974BB0"/>
    <w:rsid w:val="009A0AF3"/>
    <w:rsid w:val="009A78A9"/>
    <w:rsid w:val="009B07CD"/>
    <w:rsid w:val="009C19E9"/>
    <w:rsid w:val="009D74A6"/>
    <w:rsid w:val="009E2593"/>
    <w:rsid w:val="009E67F4"/>
    <w:rsid w:val="00A10F02"/>
    <w:rsid w:val="00A204CA"/>
    <w:rsid w:val="00A53724"/>
    <w:rsid w:val="00A76D3B"/>
    <w:rsid w:val="00A82346"/>
    <w:rsid w:val="00A9671C"/>
    <w:rsid w:val="00AA1553"/>
    <w:rsid w:val="00AF5508"/>
    <w:rsid w:val="00B05962"/>
    <w:rsid w:val="00B15449"/>
    <w:rsid w:val="00B27303"/>
    <w:rsid w:val="00B47FD1"/>
    <w:rsid w:val="00B516BB"/>
    <w:rsid w:val="00B67972"/>
    <w:rsid w:val="00B8146C"/>
    <w:rsid w:val="00BC3555"/>
    <w:rsid w:val="00C12B51"/>
    <w:rsid w:val="00C24650"/>
    <w:rsid w:val="00C2716F"/>
    <w:rsid w:val="00C33079"/>
    <w:rsid w:val="00C80C97"/>
    <w:rsid w:val="00C83A13"/>
    <w:rsid w:val="00C9068C"/>
    <w:rsid w:val="00C92967"/>
    <w:rsid w:val="00C97D51"/>
    <w:rsid w:val="00CA3D0C"/>
    <w:rsid w:val="00CA654B"/>
    <w:rsid w:val="00CD4C7B"/>
    <w:rsid w:val="00CF6B2A"/>
    <w:rsid w:val="00D30B2A"/>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11917"/>
    <w:rsid w:val="00E21FBF"/>
    <w:rsid w:val="00E62835"/>
    <w:rsid w:val="00E67F45"/>
    <w:rsid w:val="00E77645"/>
    <w:rsid w:val="00E83697"/>
    <w:rsid w:val="00EC4A25"/>
    <w:rsid w:val="00EF2AC4"/>
    <w:rsid w:val="00F025A2"/>
    <w:rsid w:val="00F07388"/>
    <w:rsid w:val="00F2026E"/>
    <w:rsid w:val="00F20BFF"/>
    <w:rsid w:val="00F2210A"/>
    <w:rsid w:val="00F37743"/>
    <w:rsid w:val="00F54A3D"/>
    <w:rsid w:val="00F54CB0"/>
    <w:rsid w:val="00F653B8"/>
    <w:rsid w:val="00F71B89"/>
    <w:rsid w:val="00F7353C"/>
    <w:rsid w:val="00F76F8F"/>
    <w:rsid w:val="00FA1266"/>
    <w:rsid w:val="00FB36FA"/>
    <w:rsid w:val="00FC1192"/>
    <w:rsid w:val="00FC4AF2"/>
    <w:rsid w:val="00FE17AC"/>
    <w:rsid w:val="00FE251B"/>
    <w:rsid w:val="00FE5334"/>
    <w:rsid w:val="00FF42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Doc-text2Char">
    <w:name w:val="Doc-text2 Char"/>
    <w:link w:val="Doc-text2"/>
    <w:rsid w:val="00054E5A"/>
    <w:rPr>
      <w:rFonts w:ascii="Arial" w:eastAsia="MS Mincho" w:hAnsi="Arial"/>
      <w:szCs w:val="24"/>
    </w:rPr>
  </w:style>
  <w:style w:type="paragraph" w:customStyle="1" w:styleId="Doc-text2">
    <w:name w:val="Doc-text2"/>
    <w:basedOn w:val="Normal"/>
    <w:link w:val="Doc-text2Char"/>
    <w:qFormat/>
    <w:rsid w:val="00054E5A"/>
    <w:pPr>
      <w:tabs>
        <w:tab w:val="left" w:pos="1622"/>
      </w:tabs>
      <w:spacing w:after="0"/>
      <w:ind w:left="1622" w:hanging="363"/>
    </w:pPr>
    <w:rPr>
      <w:rFonts w:ascii="Arial" w:eastAsia="MS Mincho" w:hAnsi="Arial"/>
      <w:szCs w:val="24"/>
      <w:lang w:eastAsia="en-GB"/>
    </w:rPr>
  </w:style>
  <w:style w:type="character" w:styleId="UnresolvedMention">
    <w:name w:val="Unresolved Mention"/>
    <w:basedOn w:val="DefaultParagraphFont"/>
    <w:rsid w:val="00EF2AC4"/>
    <w:rPr>
      <w:color w:val="808080"/>
      <w:shd w:val="clear" w:color="auto" w:fill="E6E6E6"/>
    </w:rPr>
  </w:style>
  <w:style w:type="table" w:styleId="TableGrid">
    <w:name w:val="Table Grid"/>
    <w:basedOn w:val="TableNormal"/>
    <w:rsid w:val="00FC4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087B6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AF5508"/>
    <w:pPr>
      <w:ind w:left="720"/>
      <w:contextualSpacing/>
    </w:pPr>
  </w:style>
  <w:style w:type="character" w:customStyle="1" w:styleId="TALCar">
    <w:name w:val="TAL Car"/>
    <w:link w:val="TAL"/>
    <w:rsid w:val="00674168"/>
    <w:rPr>
      <w:rFonts w:ascii="Arial" w:hAnsi="Arial"/>
      <w:sz w:val="18"/>
      <w:lang w:eastAsia="en-US"/>
    </w:rPr>
  </w:style>
  <w:style w:type="character" w:customStyle="1" w:styleId="TAHCar">
    <w:name w:val="TAH Car"/>
    <w:link w:val="TAH"/>
    <w:locked/>
    <w:rsid w:val="0067416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835291">
      <w:bodyDiv w:val="1"/>
      <w:marLeft w:val="0"/>
      <w:marRight w:val="0"/>
      <w:marTop w:val="0"/>
      <w:marBottom w:val="0"/>
      <w:divBdr>
        <w:top w:val="none" w:sz="0" w:space="0" w:color="auto"/>
        <w:left w:val="none" w:sz="0" w:space="0" w:color="auto"/>
        <w:bottom w:val="none" w:sz="0" w:space="0" w:color="auto"/>
        <w:right w:val="none" w:sz="0" w:space="0" w:color="auto"/>
      </w:divBdr>
    </w:div>
    <w:div w:id="5745584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1833340">
      <w:bodyDiv w:val="1"/>
      <w:marLeft w:val="0"/>
      <w:marRight w:val="0"/>
      <w:marTop w:val="0"/>
      <w:marBottom w:val="0"/>
      <w:divBdr>
        <w:top w:val="none" w:sz="0" w:space="0" w:color="auto"/>
        <w:left w:val="none" w:sz="0" w:space="0" w:color="auto"/>
        <w:bottom w:val="none" w:sz="0" w:space="0" w:color="auto"/>
        <w:right w:val="none" w:sz="0" w:space="0" w:color="auto"/>
      </w:divBdr>
    </w:div>
    <w:div w:id="1013918693">
      <w:bodyDiv w:val="1"/>
      <w:marLeft w:val="0"/>
      <w:marRight w:val="0"/>
      <w:marTop w:val="0"/>
      <w:marBottom w:val="0"/>
      <w:divBdr>
        <w:top w:val="none" w:sz="0" w:space="0" w:color="auto"/>
        <w:left w:val="none" w:sz="0" w:space="0" w:color="auto"/>
        <w:bottom w:val="none" w:sz="0" w:space="0" w:color="auto"/>
        <w:right w:val="none" w:sz="0" w:space="0" w:color="auto"/>
      </w:divBdr>
    </w:div>
    <w:div w:id="11104684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5AIRPNAIUNRU-859666464-1675</_dlc_DocId>
    <_dlc_DocIdUrl xmlns="71c5aaf6-e6ce-465b-b873-5148d2a4c105">
      <Url>https://nokia.sharepoint.com/sites/c5g/e2earch/_layouts/15/DocIdRedir.aspx?ID=5AIRPNAIUNRU-859666464-1675</Url>
      <Description>5AIRPNAIUNRU-859666464-1675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4.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5.xml><?xml version="1.0" encoding="utf-8"?>
<ds:datastoreItem xmlns:ds="http://schemas.openxmlformats.org/officeDocument/2006/customXml" ds:itemID="{78A55886-4038-448D-A2CC-2599C393205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3</Pages>
  <Words>741</Words>
  <Characters>6010</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Ranta-Aho, Karri (Nokia - FI/Espoo)</dc:creator>
  <cp:lastModifiedBy>Ali, Amaanat (Nokia - FI/Espoo)</cp:lastModifiedBy>
  <cp:revision>12</cp:revision>
  <dcterms:created xsi:type="dcterms:W3CDTF">2018-03-27T12:11:00Z</dcterms:created>
  <dcterms:modified xsi:type="dcterms:W3CDTF">2018-04-06T06:28:00Z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94a99482-b9f1-47b1-b373-49f8626db748</vt:lpwstr>
  </property>
</Properties>
</file>